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5" w:rsidRPr="002F4C95" w:rsidRDefault="002F4C95" w:rsidP="002F4C95">
      <w:pPr>
        <w:shd w:val="clear" w:color="auto" w:fill="FFFFFF"/>
        <w:tabs>
          <w:tab w:val="left" w:pos="5344"/>
        </w:tabs>
        <w:ind w:left="686"/>
        <w:rPr>
          <w:b/>
          <w:bCs/>
          <w:spacing w:val="-7"/>
          <w:w w:val="84"/>
          <w:sz w:val="28"/>
          <w:szCs w:val="28"/>
        </w:rPr>
      </w:pPr>
      <w:r>
        <w:rPr>
          <w:b/>
          <w:bCs/>
          <w:spacing w:val="-7"/>
          <w:w w:val="84"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bCs/>
          <w:spacing w:val="-7"/>
          <w:w w:val="84"/>
          <w:sz w:val="28"/>
          <w:szCs w:val="28"/>
        </w:rPr>
        <w:t>МИНИСТЕРСТВО</w:t>
      </w:r>
    </w:p>
    <w:p w:rsidR="00C27D1A" w:rsidRDefault="002F4C95" w:rsidP="002F4C95">
      <w:pPr>
        <w:shd w:val="clear" w:color="auto" w:fill="FFFFFF"/>
        <w:tabs>
          <w:tab w:val="left" w:pos="5344"/>
        </w:tabs>
        <w:ind w:left="686"/>
      </w:pPr>
      <w:r>
        <w:rPr>
          <w:b/>
          <w:bCs/>
          <w:spacing w:val="-7"/>
          <w:w w:val="84"/>
          <w:sz w:val="28"/>
          <w:szCs w:val="28"/>
        </w:rPr>
        <w:t>ПРИРОДНЫХ РЕСУРСОВ</w:t>
      </w:r>
      <w:r w:rsidR="00740EB2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740EB2">
        <w:rPr>
          <w:sz w:val="28"/>
          <w:szCs w:val="28"/>
        </w:rPr>
        <w:t>Западно-Сибирская</w:t>
      </w:r>
      <w:proofErr w:type="gramEnd"/>
      <w:r w:rsidR="00740EB2">
        <w:rPr>
          <w:sz w:val="28"/>
          <w:szCs w:val="28"/>
        </w:rPr>
        <w:t xml:space="preserve"> территориальная</w:t>
      </w:r>
    </w:p>
    <w:p w:rsidR="00C27D1A" w:rsidRDefault="00740EB2">
      <w:pPr>
        <w:shd w:val="clear" w:color="auto" w:fill="FFFFFF"/>
        <w:tabs>
          <w:tab w:val="left" w:pos="5340"/>
        </w:tabs>
        <w:spacing w:before="4" w:line="252" w:lineRule="exact"/>
        <w:ind w:left="1348"/>
      </w:pPr>
      <w:r>
        <w:rPr>
          <w:b/>
          <w:bCs/>
          <w:w w:val="84"/>
          <w:sz w:val="28"/>
          <w:szCs w:val="28"/>
        </w:rPr>
        <w:t>И ЭКОЛОГИИ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28"/>
          <w:szCs w:val="28"/>
        </w:rPr>
        <w:t>организация Росприродсоюза</w:t>
      </w:r>
    </w:p>
    <w:p w:rsidR="00C27D1A" w:rsidRDefault="00740EB2">
      <w:pPr>
        <w:shd w:val="clear" w:color="auto" w:fill="FFFFFF"/>
        <w:spacing w:line="252" w:lineRule="exact"/>
        <w:ind w:left="1004" w:right="6240" w:hanging="524"/>
      </w:pPr>
      <w:r>
        <w:rPr>
          <w:b/>
          <w:bCs/>
          <w:w w:val="84"/>
          <w:sz w:val="28"/>
          <w:szCs w:val="28"/>
        </w:rPr>
        <w:t xml:space="preserve">РОССИЙСКОЙ ФЕДЕРАЦИИ </w:t>
      </w:r>
      <w:r>
        <w:rPr>
          <w:b/>
          <w:bCs/>
          <w:spacing w:val="-4"/>
          <w:w w:val="84"/>
          <w:sz w:val="28"/>
          <w:szCs w:val="28"/>
        </w:rPr>
        <w:t>(Минприроды России)</w:t>
      </w:r>
    </w:p>
    <w:p w:rsidR="00C27D1A" w:rsidRDefault="00740EB2">
      <w:pPr>
        <w:shd w:val="clear" w:color="auto" w:fill="FFFFFF"/>
        <w:tabs>
          <w:tab w:val="left" w:pos="5340"/>
        </w:tabs>
        <w:ind w:left="424"/>
      </w:pPr>
      <w:r>
        <w:rPr>
          <w:spacing w:val="-2"/>
        </w:rPr>
        <w:t>ул. Б. Грузинская, д. 4/6, Москва, 123995,</w:t>
      </w:r>
      <w:r>
        <w:rPr>
          <w:rFonts w:ascii="Arial" w:cs="Arial"/>
        </w:rPr>
        <w:tab/>
      </w:r>
      <w:r>
        <w:t>6250000, Г. Тюмень, ул. Хохрякова,</w:t>
      </w:r>
    </w:p>
    <w:p w:rsidR="00C27D1A" w:rsidRDefault="00740EB2">
      <w:pPr>
        <w:shd w:val="clear" w:color="auto" w:fill="FFFFFF"/>
        <w:tabs>
          <w:tab w:val="left" w:pos="5332"/>
        </w:tabs>
        <w:spacing w:before="20"/>
        <w:ind w:left="400"/>
      </w:pPr>
      <w:r>
        <w:t>тел. (499)254-48-00, факс (499) 254-43-10</w:t>
      </w:r>
      <w:r>
        <w:rPr>
          <w:rFonts w:ascii="Arial" w:cs="Arial"/>
        </w:rPr>
        <w:tab/>
      </w:r>
      <w:r>
        <w:t>д. 50  к.   102</w:t>
      </w:r>
    </w:p>
    <w:p w:rsidR="00C27D1A" w:rsidRDefault="00740EB2">
      <w:pPr>
        <w:shd w:val="clear" w:color="auto" w:fill="FFFFFF"/>
        <w:tabs>
          <w:tab w:val="left" w:pos="5836"/>
        </w:tabs>
        <w:ind w:left="1172"/>
      </w:pPr>
      <w:r>
        <w:rPr>
          <w:spacing w:val="-2"/>
        </w:rPr>
        <w:t>телетайп 112242 СФЕН</w:t>
      </w:r>
      <w:r>
        <w:rPr>
          <w:rFonts w:ascii="Arial" w:hAnsi="Arial" w:cs="Arial"/>
        </w:rPr>
        <w:tab/>
      </w:r>
    </w:p>
    <w:p w:rsidR="00C27D1A" w:rsidRDefault="00740EB2">
      <w:pPr>
        <w:shd w:val="clear" w:color="auto" w:fill="FFFFFF"/>
        <w:tabs>
          <w:tab w:val="left" w:leader="underscore" w:pos="2392"/>
          <w:tab w:val="left" w:leader="underscore" w:pos="4096"/>
        </w:tabs>
        <w:spacing w:before="496"/>
        <w:ind w:left="192"/>
      </w:pPr>
      <w:r>
        <w:t>на №</w:t>
      </w:r>
      <w:r>
        <w:tab/>
      </w:r>
      <w:r>
        <w:rPr>
          <w:spacing w:val="-5"/>
        </w:rPr>
        <w:t>от</w:t>
      </w:r>
      <w:r>
        <w:tab/>
      </w:r>
    </w:p>
    <w:p w:rsidR="00C27D1A" w:rsidRDefault="00740EB2">
      <w:pPr>
        <w:shd w:val="clear" w:color="auto" w:fill="FFFFFF"/>
        <w:tabs>
          <w:tab w:val="left" w:pos="4056"/>
        </w:tabs>
        <w:spacing w:before="372"/>
        <w:ind w:left="92"/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27D1A" w:rsidRDefault="00740EB2">
      <w:pPr>
        <w:shd w:val="clear" w:color="auto" w:fill="FFFFFF"/>
        <w:spacing w:before="40" w:line="276" w:lineRule="exact"/>
        <w:ind w:left="96" w:right="7200"/>
      </w:pPr>
      <w:r>
        <w:rPr>
          <w:spacing w:val="-2"/>
          <w:w w:val="84"/>
          <w:sz w:val="28"/>
          <w:szCs w:val="28"/>
        </w:rPr>
        <w:t xml:space="preserve">На обращение участников </w:t>
      </w:r>
      <w:r>
        <w:rPr>
          <w:w w:val="84"/>
          <w:sz w:val="28"/>
          <w:szCs w:val="28"/>
        </w:rPr>
        <w:t>совместного Пленума</w:t>
      </w:r>
    </w:p>
    <w:p w:rsidR="00C27D1A" w:rsidRDefault="00740EB2">
      <w:pPr>
        <w:shd w:val="clear" w:color="auto" w:fill="FFFFFF"/>
        <w:spacing w:line="276" w:lineRule="exact"/>
        <w:ind w:left="84"/>
      </w:pPr>
      <w:r>
        <w:rPr>
          <w:w w:val="84"/>
          <w:sz w:val="28"/>
          <w:szCs w:val="28"/>
        </w:rPr>
        <w:t>территориальных комитетов</w:t>
      </w:r>
    </w:p>
    <w:p w:rsidR="00C27D1A" w:rsidRDefault="00740EB2">
      <w:pPr>
        <w:shd w:val="clear" w:color="auto" w:fill="FFFFFF"/>
        <w:spacing w:before="60"/>
        <w:ind w:left="6524"/>
      </w:pPr>
      <w:r>
        <w:rPr>
          <w:rFonts w:ascii="Arial" w:hAnsi="Arial" w:cs="Arial"/>
          <w:w w:val="130"/>
          <w:sz w:val="2"/>
          <w:szCs w:val="2"/>
        </w:rPr>
        <w:t>■</w:t>
      </w:r>
    </w:p>
    <w:p w:rsidR="00C27D1A" w:rsidRDefault="00740EB2">
      <w:pPr>
        <w:shd w:val="clear" w:color="auto" w:fill="FFFFFF"/>
        <w:spacing w:before="20"/>
        <w:ind w:left="7644"/>
      </w:pPr>
      <w:r>
        <w:rPr>
          <w:rFonts w:ascii="Arial" w:hAnsi="Arial" w:cs="Arial"/>
          <w:w w:val="130"/>
          <w:sz w:val="2"/>
          <w:szCs w:val="2"/>
        </w:rPr>
        <w:t>■</w:t>
      </w:r>
    </w:p>
    <w:p w:rsidR="00C27D1A" w:rsidRDefault="00740EB2">
      <w:pPr>
        <w:shd w:val="clear" w:color="auto" w:fill="FFFFFF"/>
        <w:spacing w:before="300" w:line="368" w:lineRule="exact"/>
        <w:ind w:left="80" w:firstLine="688"/>
        <w:jc w:val="both"/>
      </w:pPr>
      <w:proofErr w:type="gramStart"/>
      <w:r>
        <w:rPr>
          <w:sz w:val="28"/>
          <w:szCs w:val="28"/>
        </w:rPr>
        <w:t xml:space="preserve">Министерство природных ресурсов и экологии Российской Федерации в соответствии с письмом Аппарата Правительства Российской Федерации от 06.05.2014 № П9-21469 рассмотрело обращение участников совместного Пленума территориальных комитетов и членов профсоюза Западно-Сибирской территориальной организации Росприродсоюза и Уральской региональной организации «Росприродсоюз-Урал» по вопросу возрождения геологической службы России и увеличения государственного финансирования </w:t>
      </w:r>
      <w:r>
        <w:rPr>
          <w:spacing w:val="-1"/>
          <w:sz w:val="28"/>
          <w:szCs w:val="28"/>
        </w:rPr>
        <w:t>геологоразведочных работ, и в рамках своей компетенции сообщает следующее.</w:t>
      </w:r>
      <w:proofErr w:type="gramEnd"/>
    </w:p>
    <w:p w:rsidR="00C27D1A" w:rsidRDefault="00740EB2">
      <w:pPr>
        <w:shd w:val="clear" w:color="auto" w:fill="FFFFFF"/>
        <w:spacing w:line="368" w:lineRule="exact"/>
        <w:ind w:left="64" w:right="12" w:firstLine="692"/>
        <w:jc w:val="both"/>
      </w:pPr>
      <w:proofErr w:type="gramStart"/>
      <w:r>
        <w:rPr>
          <w:sz w:val="28"/>
          <w:szCs w:val="28"/>
        </w:rPr>
        <w:t>Вопросы развития и функционирования геологической отрасли России находятся в сфере постоянного внимания Минприроды России и определяются документами стратегического планирования - Стратегией развития геологической отрасли до 2030 года, утвержденной распоряжением Правительства Российской Федерации от 21 июня 2010 года №1039-р и подпрограммой «Воспроизводство минерально-сырьевой базы, геологическое изучение недр» государственной программы «Воспроизводство и использование природных ресурсов», утвержденной распоряжением Правительства Российской Федерации от 26 марта</w:t>
      </w:r>
      <w:proofErr w:type="gramEnd"/>
      <w:r>
        <w:rPr>
          <w:sz w:val="28"/>
          <w:szCs w:val="28"/>
        </w:rPr>
        <w:t xml:space="preserve"> 2013 года № 436-р (далее - Госпрограмма).</w:t>
      </w:r>
    </w:p>
    <w:p w:rsidR="00C27D1A" w:rsidRDefault="00740EB2">
      <w:pPr>
        <w:shd w:val="clear" w:color="auto" w:fill="FFFFFF"/>
        <w:spacing w:line="368" w:lineRule="exact"/>
        <w:ind w:left="72" w:right="16" w:firstLine="696"/>
        <w:jc w:val="both"/>
      </w:pPr>
      <w:r>
        <w:rPr>
          <w:sz w:val="28"/>
          <w:szCs w:val="28"/>
        </w:rPr>
        <w:t xml:space="preserve">Одним из ключевых результатов принятия документов стратегического планирования является увеличение финансирования геологоразведочных работ, как </w:t>
      </w:r>
      <w:r>
        <w:rPr>
          <w:spacing w:val="-1"/>
          <w:sz w:val="28"/>
          <w:szCs w:val="28"/>
        </w:rPr>
        <w:t xml:space="preserve">за счет средств федерального бюджета, так и средств </w:t>
      </w:r>
      <w:proofErr w:type="spellStart"/>
      <w:r>
        <w:rPr>
          <w:spacing w:val="-1"/>
          <w:sz w:val="28"/>
          <w:szCs w:val="28"/>
        </w:rPr>
        <w:t>недропользователей</w:t>
      </w:r>
      <w:proofErr w:type="spellEnd"/>
      <w:r>
        <w:rPr>
          <w:spacing w:val="-1"/>
          <w:sz w:val="28"/>
          <w:szCs w:val="28"/>
        </w:rPr>
        <w:t>.</w:t>
      </w:r>
    </w:p>
    <w:p w:rsidR="00C27D1A" w:rsidRDefault="00740EB2" w:rsidP="00C642A1">
      <w:pPr>
        <w:shd w:val="clear" w:color="auto" w:fill="FFFFFF"/>
        <w:tabs>
          <w:tab w:val="left" w:pos="2144"/>
        </w:tabs>
        <w:spacing w:line="368" w:lineRule="exact"/>
        <w:ind w:left="72" w:right="24" w:firstLine="700"/>
        <w:jc w:val="both"/>
      </w:pPr>
      <w:r>
        <w:rPr>
          <w:sz w:val="28"/>
          <w:szCs w:val="28"/>
        </w:rPr>
        <w:t>Объем государственного финансирования геологоразведочных работ в 2013</w:t>
      </w:r>
      <w:r>
        <w:rPr>
          <w:sz w:val="28"/>
          <w:szCs w:val="28"/>
        </w:rPr>
        <w:br/>
        <w:t xml:space="preserve">году составил 32,1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рублей, что в 1,7 раза в ценах текущих лет больше чем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2009    году.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Порядка    50%    государственных    вложений    приходится    на</w:t>
      </w:r>
      <w:r w:rsidR="00C642A1" w:rsidRPr="00C642A1">
        <w:rPr>
          <w:sz w:val="28"/>
          <w:szCs w:val="28"/>
        </w:rPr>
        <w:t xml:space="preserve"> </w:t>
      </w:r>
      <w:r>
        <w:rPr>
          <w:sz w:val="28"/>
          <w:szCs w:val="28"/>
        </w:rPr>
        <w:t>геологоразведочные работы по нефти и газу, около 30% расходуется на работы по твердым полезным ископаемым и порядка 20% на региональные и специальные</w:t>
      </w:r>
    </w:p>
    <w:p w:rsidR="00C27D1A" w:rsidRDefault="00740EB2">
      <w:pPr>
        <w:shd w:val="clear" w:color="auto" w:fill="FFFFFF"/>
        <w:spacing w:line="368" w:lineRule="exact"/>
        <w:ind w:left="64"/>
      </w:pPr>
      <w:r>
        <w:rPr>
          <w:sz w:val="28"/>
          <w:szCs w:val="28"/>
        </w:rPr>
        <w:t>работы. Всего за весь срок реализации Госпрограммы (до 2020 г.) государство</w:t>
      </w:r>
    </w:p>
    <w:p w:rsidR="00C27D1A" w:rsidRDefault="00740EB2">
      <w:pPr>
        <w:shd w:val="clear" w:color="auto" w:fill="FFFFFF"/>
        <w:tabs>
          <w:tab w:val="left" w:pos="3248"/>
          <w:tab w:val="left" w:pos="10008"/>
        </w:tabs>
        <w:spacing w:before="8"/>
        <w:sectPr w:rsidR="00C27D1A">
          <w:type w:val="continuous"/>
          <w:pgSz w:w="11909" w:h="16834"/>
          <w:pgMar w:top="837" w:right="442" w:bottom="360" w:left="1251" w:header="720" w:footer="720" w:gutter="0"/>
          <w:cols w:space="60"/>
          <w:noEndnote/>
        </w:sectPr>
      </w:pPr>
      <w:r w:rsidRPr="00C642A1"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</w:p>
    <w:p w:rsidR="00740EB2" w:rsidRDefault="00740EB2" w:rsidP="00740EB2">
      <w:pPr>
        <w:shd w:val="clear" w:color="auto" w:fill="FFFFFF"/>
        <w:spacing w:before="396" w:line="368" w:lineRule="exact"/>
        <w:ind w:left="4" w:right="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</w:p>
    <w:p w:rsidR="00C27D1A" w:rsidRDefault="00740EB2">
      <w:pPr>
        <w:shd w:val="clear" w:color="auto" w:fill="FFFFFF"/>
        <w:spacing w:before="396" w:line="368" w:lineRule="exact"/>
        <w:ind w:left="4" w:right="4"/>
        <w:jc w:val="both"/>
      </w:pPr>
      <w:r>
        <w:rPr>
          <w:sz w:val="28"/>
          <w:szCs w:val="28"/>
        </w:rPr>
        <w:t xml:space="preserve">вложит в геологоразведочные работы 328,9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 средств федерального бюджета, что свидетельствует об отсутствии необходимости восстановления ранее существовавшего фонда воспроизводства минерально-сырьевой базы.</w:t>
      </w:r>
    </w:p>
    <w:p w:rsidR="00C27D1A" w:rsidRDefault="00740EB2">
      <w:pPr>
        <w:shd w:val="clear" w:color="auto" w:fill="FFFFFF"/>
        <w:spacing w:before="4" w:line="368" w:lineRule="exact"/>
        <w:ind w:left="4" w:firstLine="692"/>
        <w:jc w:val="both"/>
      </w:pPr>
      <w:r>
        <w:rPr>
          <w:sz w:val="28"/>
          <w:szCs w:val="28"/>
        </w:rPr>
        <w:t xml:space="preserve">Достигнуто также увеличение средств на финансирование геологоразведочных работ из внебюджетных источников, за счет компаний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едропользователей</w:t>
      </w:r>
      <w:proofErr w:type="spellEnd"/>
      <w:r>
        <w:rPr>
          <w:sz w:val="28"/>
          <w:szCs w:val="28"/>
        </w:rPr>
        <w:t xml:space="preserve">, которое составило в 2013 году около 240 млрд. рублей и является максимальным за последнее десятилетие. Таким образом, на 1 рубль бюджетных средств, было привлечено в зависимости от видов полезных ископаемых от 4 до 10 рублей средств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>.</w:t>
      </w:r>
    </w:p>
    <w:p w:rsidR="00C27D1A" w:rsidRDefault="00740EB2">
      <w:pPr>
        <w:shd w:val="clear" w:color="auto" w:fill="FFFFFF"/>
        <w:spacing w:before="4" w:line="368" w:lineRule="exact"/>
        <w:ind w:left="8" w:firstLine="692"/>
        <w:jc w:val="both"/>
      </w:pPr>
      <w:r>
        <w:rPr>
          <w:sz w:val="28"/>
          <w:szCs w:val="28"/>
        </w:rPr>
        <w:t>Кроме того, за счет предоставления в пользование на аукционной основе месторождений полезных ископаемых в 2013 году в бюджет страны от разовых платежей поступило 160 млрд. руб.</w:t>
      </w:r>
    </w:p>
    <w:p w:rsidR="00C27D1A" w:rsidRDefault="00740EB2">
      <w:pPr>
        <w:shd w:val="clear" w:color="auto" w:fill="FFFFFF"/>
        <w:spacing w:line="368" w:lineRule="exact"/>
        <w:ind w:right="4" w:firstLine="696"/>
        <w:jc w:val="both"/>
      </w:pPr>
      <w:r>
        <w:rPr>
          <w:sz w:val="28"/>
          <w:szCs w:val="28"/>
        </w:rPr>
        <w:t xml:space="preserve">В отношении прироста запасов полезных ископаемых следует подчеркнуть, что за последние 8 лет прирост запасов нефти, конденсата и природного газа стабильно превышает объемы добычи. Рост государственных и частных инвестиций в отрасль привел к открытию за 2009-2013 годы более 250 месторождений углеводородного сырья, причем открытие месторождений полезных ископаемых осуществляется за счет средств компаний -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 xml:space="preserve"> на перспективных площадях, выявленных за счет госбюджетного финансирования.</w:t>
      </w:r>
    </w:p>
    <w:p w:rsidR="00C27D1A" w:rsidRDefault="00740EB2">
      <w:pPr>
        <w:shd w:val="clear" w:color="auto" w:fill="FFFFFF"/>
        <w:spacing w:line="368" w:lineRule="exact"/>
        <w:ind w:left="4" w:right="4" w:firstLine="760"/>
        <w:jc w:val="both"/>
      </w:pPr>
      <w:r>
        <w:rPr>
          <w:sz w:val="28"/>
          <w:szCs w:val="28"/>
        </w:rPr>
        <w:t xml:space="preserve">Близкая ситуация наблюдается с воспроизводством минерально-сырьевой базы твердых полезных ископаемых. За 5 лет достигнуто расширенное и простое воспроизводство по ключевым видам твердых полезных ископаемых, имеющих </w:t>
      </w:r>
      <w:r>
        <w:rPr>
          <w:spacing w:val="-1"/>
          <w:sz w:val="28"/>
          <w:szCs w:val="28"/>
        </w:rPr>
        <w:t xml:space="preserve">наиболее </w:t>
      </w:r>
      <w:proofErr w:type="gramStart"/>
      <w:r>
        <w:rPr>
          <w:spacing w:val="-1"/>
          <w:sz w:val="28"/>
          <w:szCs w:val="28"/>
        </w:rPr>
        <w:t>важное значение</w:t>
      </w:r>
      <w:proofErr w:type="gramEnd"/>
      <w:r>
        <w:rPr>
          <w:spacing w:val="-1"/>
          <w:sz w:val="28"/>
          <w:szCs w:val="28"/>
        </w:rPr>
        <w:t xml:space="preserve"> для экономики страны, в том числе, титану, молибдену, </w:t>
      </w:r>
      <w:r>
        <w:rPr>
          <w:sz w:val="28"/>
          <w:szCs w:val="28"/>
        </w:rPr>
        <w:t xml:space="preserve">урану, вольфраму, меди, сурьме, рудному золоту, никелю, цементному сырью. Близки показатели по воспроизводству запасов железных руд и серебру. За этот </w:t>
      </w:r>
      <w:r>
        <w:rPr>
          <w:spacing w:val="-2"/>
          <w:sz w:val="28"/>
          <w:szCs w:val="28"/>
        </w:rPr>
        <w:t>период было разведано более 270 месторождений твердых полезных ископаемых.</w:t>
      </w:r>
    </w:p>
    <w:p w:rsidR="00C27D1A" w:rsidRDefault="00740EB2">
      <w:pPr>
        <w:shd w:val="clear" w:color="auto" w:fill="FFFFFF"/>
        <w:spacing w:line="368" w:lineRule="exact"/>
        <w:ind w:left="12" w:right="44" w:firstLine="692"/>
        <w:jc w:val="both"/>
      </w:pPr>
      <w:r>
        <w:rPr>
          <w:sz w:val="28"/>
          <w:szCs w:val="28"/>
        </w:rPr>
        <w:t>Данные показатели развития минерально-сырьевой базы достигнуты, в том числе благодаря постоянному совершенствованию Минприроды России законодательной и нормативной правовой базы в области недропользования, направленному на снятие административных барьеров и экономическое стимулирование геологоразведочных работ.</w:t>
      </w:r>
    </w:p>
    <w:p w:rsidR="00C27D1A" w:rsidRDefault="00740EB2">
      <w:pPr>
        <w:shd w:val="clear" w:color="auto" w:fill="FFFFFF"/>
        <w:spacing w:line="368" w:lineRule="exact"/>
        <w:ind w:left="8" w:right="4" w:firstLine="692"/>
        <w:jc w:val="both"/>
      </w:pPr>
      <w:r>
        <w:rPr>
          <w:sz w:val="28"/>
          <w:szCs w:val="28"/>
        </w:rPr>
        <w:t xml:space="preserve">В качестве мер экономического стимулирования, только за последнее время, </w:t>
      </w:r>
      <w:r>
        <w:rPr>
          <w:spacing w:val="-1"/>
          <w:sz w:val="28"/>
          <w:szCs w:val="28"/>
        </w:rPr>
        <w:t xml:space="preserve">были приняты документы по налоговому и таможенно-тарифному стимулированию </w:t>
      </w:r>
      <w:r>
        <w:rPr>
          <w:sz w:val="28"/>
          <w:szCs w:val="28"/>
        </w:rPr>
        <w:t xml:space="preserve">деятельности по добыче углеводородного сырья на континентальном шельфе, благодаря чему на шельфе установлены самые благоприятные в мире экономические условия. Важной мерой для реализации инвестиционных проектов на территории Дальневосточного федерального округа и отдельных субъектов </w:t>
      </w:r>
      <w:r>
        <w:rPr>
          <w:spacing w:val="-1"/>
          <w:sz w:val="28"/>
          <w:szCs w:val="28"/>
        </w:rPr>
        <w:t xml:space="preserve">страны явилось принятие налоговых льгот по налогу на прибыль, на имущество и </w:t>
      </w:r>
      <w:proofErr w:type="gramStart"/>
      <w:r>
        <w:rPr>
          <w:spacing w:val="-1"/>
          <w:sz w:val="28"/>
          <w:szCs w:val="28"/>
        </w:rPr>
        <w:t>на</w:t>
      </w:r>
      <w:proofErr w:type="gramEnd"/>
    </w:p>
    <w:p w:rsidR="00C27D1A" w:rsidRDefault="00C27D1A">
      <w:pPr>
        <w:shd w:val="clear" w:color="auto" w:fill="FFFFFF"/>
        <w:spacing w:line="368" w:lineRule="exact"/>
        <w:ind w:left="8" w:right="4" w:firstLine="692"/>
        <w:jc w:val="both"/>
        <w:sectPr w:rsidR="00C27D1A">
          <w:pgSz w:w="11909" w:h="16834"/>
          <w:pgMar w:top="1009" w:right="618" w:bottom="360" w:left="1107" w:header="720" w:footer="720" w:gutter="0"/>
          <w:cols w:space="60"/>
          <w:noEndnote/>
        </w:sectPr>
      </w:pPr>
    </w:p>
    <w:p w:rsidR="00740EB2" w:rsidRPr="002F4C95" w:rsidRDefault="00740EB2" w:rsidP="00740EB2">
      <w:pPr>
        <w:shd w:val="clear" w:color="auto" w:fill="FFFFFF"/>
        <w:spacing w:line="368" w:lineRule="exact"/>
        <w:ind w:left="12" w:right="660"/>
        <w:jc w:val="center"/>
        <w:rPr>
          <w:sz w:val="28"/>
          <w:szCs w:val="28"/>
        </w:rPr>
      </w:pPr>
      <w:r w:rsidRPr="002F4C95">
        <w:rPr>
          <w:sz w:val="28"/>
          <w:szCs w:val="28"/>
        </w:rPr>
        <w:t>3</w:t>
      </w:r>
    </w:p>
    <w:p w:rsidR="00C27D1A" w:rsidRDefault="00740EB2">
      <w:pPr>
        <w:shd w:val="clear" w:color="auto" w:fill="FFFFFF"/>
        <w:spacing w:line="368" w:lineRule="exact"/>
        <w:ind w:left="12" w:right="660"/>
        <w:jc w:val="both"/>
      </w:pPr>
      <w:r>
        <w:rPr>
          <w:sz w:val="28"/>
          <w:szCs w:val="28"/>
        </w:rPr>
        <w:t xml:space="preserve">добычу полезных ископаемых по приоритетным инвестиционным проектам на Дальнем Востоке. Понижена ставка НДПИ при добыче </w:t>
      </w:r>
      <w:proofErr w:type="spellStart"/>
      <w:r>
        <w:rPr>
          <w:sz w:val="28"/>
          <w:szCs w:val="28"/>
        </w:rPr>
        <w:t>трудноизвлекаемых</w:t>
      </w:r>
      <w:proofErr w:type="spellEnd"/>
      <w:r>
        <w:rPr>
          <w:sz w:val="28"/>
          <w:szCs w:val="28"/>
        </w:rPr>
        <w:t xml:space="preserve"> запасов нефти, что будет стимулировать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 xml:space="preserve"> на вовлечение в разработку месторождений с </w:t>
      </w:r>
      <w:proofErr w:type="spellStart"/>
      <w:r>
        <w:rPr>
          <w:sz w:val="28"/>
          <w:szCs w:val="28"/>
        </w:rPr>
        <w:t>трудноизвлекаемыми</w:t>
      </w:r>
      <w:proofErr w:type="spellEnd"/>
      <w:r>
        <w:rPr>
          <w:sz w:val="28"/>
          <w:szCs w:val="28"/>
        </w:rPr>
        <w:t xml:space="preserve"> запасами нефти.</w:t>
      </w:r>
    </w:p>
    <w:p w:rsidR="00C27D1A" w:rsidRDefault="00740EB2">
      <w:pPr>
        <w:shd w:val="clear" w:color="auto" w:fill="FFFFFF"/>
        <w:spacing w:before="4" w:line="368" w:lineRule="exact"/>
        <w:ind w:left="8" w:right="668" w:firstLine="752"/>
        <w:jc w:val="both"/>
      </w:pPr>
      <w:r>
        <w:rPr>
          <w:sz w:val="28"/>
          <w:szCs w:val="28"/>
        </w:rPr>
        <w:t xml:space="preserve">В перспективе предполагается пополнить пакет стимулирующих мер, адресной поддержкой геологоразведочной деятельности в части установления вычетов затрат на проведение геологоразведки из НДПИ, рассрочки платежей за право пользования недрами и увеличение платы за пользование недрами для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>, нарушающих сроки проведения геологоразведочных работ. Минприроды России совместно с другими органами государственной власти работает над проектами соответствующих законодательных и нормативных правовых актов.</w:t>
      </w:r>
    </w:p>
    <w:p w:rsidR="00C27D1A" w:rsidRDefault="00740EB2">
      <w:pPr>
        <w:shd w:val="clear" w:color="auto" w:fill="FFFFFF"/>
        <w:spacing w:line="368" w:lineRule="exact"/>
        <w:ind w:left="12" w:right="676" w:firstLine="692"/>
        <w:jc w:val="both"/>
      </w:pPr>
      <w:r>
        <w:rPr>
          <w:sz w:val="28"/>
          <w:szCs w:val="28"/>
        </w:rPr>
        <w:t>Перспективы дальнейшего развития минерально-сырьевой базы страны в значительной степени связаны с Дальневосточным регионом.</w:t>
      </w:r>
    </w:p>
    <w:p w:rsidR="00C27D1A" w:rsidRDefault="00740EB2">
      <w:pPr>
        <w:shd w:val="clear" w:color="auto" w:fill="FFFFFF"/>
        <w:spacing w:before="8" w:line="368" w:lineRule="exact"/>
        <w:ind w:left="704"/>
      </w:pPr>
      <w:r>
        <w:rPr>
          <w:sz w:val="28"/>
          <w:szCs w:val="28"/>
        </w:rPr>
        <w:t xml:space="preserve">Поручениями Правительства Российской Федерации поставлена задача </w:t>
      </w:r>
      <w:proofErr w:type="gramStart"/>
      <w:r>
        <w:rPr>
          <w:sz w:val="28"/>
          <w:szCs w:val="28"/>
        </w:rPr>
        <w:t>об</w:t>
      </w:r>
      <w:proofErr w:type="gramEnd"/>
    </w:p>
    <w:p w:rsidR="00C27D1A" w:rsidRDefault="00740EB2" w:rsidP="00C642A1">
      <w:pPr>
        <w:shd w:val="clear" w:color="auto" w:fill="FFFFFF"/>
        <w:spacing w:line="368" w:lineRule="exact"/>
        <w:ind w:left="8"/>
      </w:pPr>
      <w:r>
        <w:rPr>
          <w:sz w:val="28"/>
          <w:szCs w:val="28"/>
        </w:rPr>
        <w:t>увеличение      доли      ассигнований      на      геологическое      изучение      недр</w:t>
      </w:r>
      <w:r w:rsidR="00C642A1" w:rsidRPr="00740EB2">
        <w:rPr>
          <w:sz w:val="28"/>
          <w:szCs w:val="28"/>
        </w:rPr>
        <w:t xml:space="preserve"> </w:t>
      </w:r>
      <w:r w:rsidRPr="00740EB2">
        <w:rPr>
          <w:sz w:val="28"/>
          <w:szCs w:val="28"/>
        </w:rPr>
        <w:t xml:space="preserve"> </w:t>
      </w:r>
      <w:r>
        <w:rPr>
          <w:w w:val="87"/>
          <w:sz w:val="4"/>
          <w:szCs w:val="4"/>
        </w:rPr>
        <w:t xml:space="preserve"> </w:t>
      </w:r>
      <w:r>
        <w:rPr>
          <w:sz w:val="28"/>
          <w:szCs w:val="28"/>
        </w:rPr>
        <w:t xml:space="preserve">Дальневосточного округа не менее чем до 40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общих ежегодных</w:t>
      </w:r>
    </w:p>
    <w:p w:rsidR="00C27D1A" w:rsidRDefault="00740EB2">
      <w:pPr>
        <w:shd w:val="clear" w:color="auto" w:fill="FFFFFF"/>
        <w:spacing w:before="20" w:line="368" w:lineRule="exact"/>
        <w:ind w:left="16" w:right="684"/>
        <w:jc w:val="both"/>
      </w:pPr>
      <w:r>
        <w:rPr>
          <w:spacing w:val="-1"/>
          <w:sz w:val="28"/>
          <w:szCs w:val="28"/>
        </w:rPr>
        <w:t xml:space="preserve">расходов. Это потребует сокращения средств на геолого-геофизические и </w:t>
      </w:r>
      <w:proofErr w:type="spellStart"/>
      <w:r>
        <w:rPr>
          <w:spacing w:val="-1"/>
          <w:sz w:val="28"/>
          <w:szCs w:val="28"/>
        </w:rPr>
        <w:t>геолого</w:t>
      </w:r>
      <w:r>
        <w:rPr>
          <w:spacing w:val="-1"/>
          <w:sz w:val="28"/>
          <w:szCs w:val="28"/>
        </w:rPr>
        <w:softHyphen/>
        <w:t>съемочные</w:t>
      </w:r>
      <w:proofErr w:type="spellEnd"/>
      <w:r>
        <w:rPr>
          <w:spacing w:val="-1"/>
          <w:sz w:val="28"/>
          <w:szCs w:val="28"/>
        </w:rPr>
        <w:t xml:space="preserve"> работы, а также на твердые полезные ископаемые в Центральном, </w:t>
      </w:r>
      <w:r>
        <w:rPr>
          <w:sz w:val="28"/>
          <w:szCs w:val="28"/>
        </w:rPr>
        <w:t>Северо-Кавказском и Приволжском округах.</w:t>
      </w:r>
    </w:p>
    <w:p w:rsidR="00C27D1A" w:rsidRDefault="00740EB2">
      <w:pPr>
        <w:shd w:val="clear" w:color="auto" w:fill="FFFFFF"/>
        <w:spacing w:before="4" w:line="368" w:lineRule="exact"/>
        <w:ind w:right="676" w:firstLine="692"/>
        <w:jc w:val="both"/>
      </w:pPr>
      <w:r>
        <w:rPr>
          <w:sz w:val="28"/>
          <w:szCs w:val="28"/>
        </w:rPr>
        <w:t xml:space="preserve">Кроме того, необходимо будет сконцентрировать бюджетные средства в </w:t>
      </w:r>
      <w:r>
        <w:rPr>
          <w:spacing w:val="-1"/>
          <w:sz w:val="28"/>
          <w:szCs w:val="28"/>
        </w:rPr>
        <w:t xml:space="preserve">перспективных регионах страны. В частности, геологоразведочные работы на углеводородное сырье будут планироваться на территориях, где находится большое </w:t>
      </w:r>
      <w:r>
        <w:rPr>
          <w:spacing w:val="-2"/>
          <w:sz w:val="28"/>
          <w:szCs w:val="28"/>
        </w:rPr>
        <w:t>количество локализованных и нелокализованных ресурсов углеводородного сырья и велика вероятность открытия средних и крупных месторождений.</w:t>
      </w:r>
    </w:p>
    <w:p w:rsidR="00C27D1A" w:rsidRDefault="00740EB2">
      <w:pPr>
        <w:shd w:val="clear" w:color="auto" w:fill="FFFFFF"/>
        <w:tabs>
          <w:tab w:val="left" w:pos="9264"/>
        </w:tabs>
        <w:spacing w:line="368" w:lineRule="exact"/>
        <w:ind w:left="12" w:right="696" w:firstLine="688"/>
        <w:jc w:val="both"/>
      </w:pPr>
      <w:r>
        <w:rPr>
          <w:sz w:val="28"/>
          <w:szCs w:val="28"/>
        </w:rPr>
        <w:t xml:space="preserve">К таким территориям относятся пять </w:t>
      </w:r>
      <w:proofErr w:type="spellStart"/>
      <w:r>
        <w:rPr>
          <w:sz w:val="28"/>
          <w:szCs w:val="28"/>
        </w:rPr>
        <w:t>нефтегазоперспективных</w:t>
      </w:r>
      <w:proofErr w:type="spellEnd"/>
      <w:r>
        <w:rPr>
          <w:sz w:val="28"/>
          <w:szCs w:val="28"/>
        </w:rPr>
        <w:t xml:space="preserve"> зон: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Озинско-Алтатинская</w:t>
      </w:r>
      <w:proofErr w:type="spellEnd"/>
      <w:r>
        <w:rPr>
          <w:sz w:val="28"/>
          <w:szCs w:val="28"/>
        </w:rPr>
        <w:t xml:space="preserve">    в    Прикаспийской    впадине,    </w:t>
      </w:r>
      <w:proofErr w:type="spellStart"/>
      <w:r>
        <w:rPr>
          <w:sz w:val="28"/>
          <w:szCs w:val="28"/>
        </w:rPr>
        <w:t>Карабашская</w:t>
      </w:r>
      <w:proofErr w:type="spellEnd"/>
      <w:r>
        <w:rPr>
          <w:sz w:val="28"/>
          <w:szCs w:val="28"/>
        </w:rPr>
        <w:t>,</w:t>
      </w:r>
      <w:r>
        <w:rPr>
          <w:rFonts w:ascii="Arial" w:cs="Arial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Югано</w:t>
      </w:r>
      <w:proofErr w:type="spellEnd"/>
      <w:r>
        <w:rPr>
          <w:spacing w:val="-4"/>
          <w:sz w:val="28"/>
          <w:szCs w:val="28"/>
        </w:rPr>
        <w:t>-</w:t>
      </w:r>
    </w:p>
    <w:p w:rsidR="00C27D1A" w:rsidRDefault="00740EB2">
      <w:pPr>
        <w:shd w:val="clear" w:color="auto" w:fill="FFFFFF"/>
        <w:spacing w:line="368" w:lineRule="exact"/>
        <w:ind w:left="8" w:right="692"/>
        <w:jc w:val="both"/>
      </w:pPr>
      <w:proofErr w:type="spellStart"/>
      <w:r>
        <w:rPr>
          <w:sz w:val="28"/>
          <w:szCs w:val="28"/>
        </w:rPr>
        <w:t>Колтогорская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Гыдано-Хатангская</w:t>
      </w:r>
      <w:proofErr w:type="spellEnd"/>
      <w:r>
        <w:rPr>
          <w:sz w:val="28"/>
          <w:szCs w:val="28"/>
        </w:rPr>
        <w:t xml:space="preserve"> в Западно-Сибирской нефтегазоносной провинции, </w:t>
      </w:r>
      <w:proofErr w:type="spellStart"/>
      <w:r>
        <w:rPr>
          <w:sz w:val="28"/>
          <w:szCs w:val="28"/>
        </w:rPr>
        <w:t>Аргишско-Чунская</w:t>
      </w:r>
      <w:proofErr w:type="spellEnd"/>
      <w:r>
        <w:rPr>
          <w:sz w:val="28"/>
          <w:szCs w:val="28"/>
        </w:rPr>
        <w:t xml:space="preserve"> в Восточно-Сибирской нефтегазоносной провинции.</w:t>
      </w:r>
    </w:p>
    <w:p w:rsidR="00C27D1A" w:rsidRDefault="00740EB2">
      <w:pPr>
        <w:shd w:val="clear" w:color="auto" w:fill="FFFFFF"/>
        <w:spacing w:line="368" w:lineRule="exact"/>
        <w:ind w:left="8" w:right="688" w:firstLine="688"/>
        <w:jc w:val="both"/>
      </w:pPr>
      <w:r>
        <w:rPr>
          <w:sz w:val="28"/>
          <w:szCs w:val="28"/>
        </w:rPr>
        <w:t>В реализации задач по наращиванию минерально-сырьевой базы России активная роль отводится ОАО «</w:t>
      </w:r>
      <w:proofErr w:type="spellStart"/>
      <w:r>
        <w:rPr>
          <w:sz w:val="28"/>
          <w:szCs w:val="28"/>
        </w:rPr>
        <w:t>Росгеология</w:t>
      </w:r>
      <w:proofErr w:type="spellEnd"/>
      <w:r>
        <w:rPr>
          <w:sz w:val="28"/>
          <w:szCs w:val="28"/>
        </w:rPr>
        <w:t>». Данное акционерное общество со 100% государственным капиталом, созданное Указом Президента Российской Федерации от 15.07.2011 № 957, является важным элементом государственного сектора геологической отрасли, основной задачей которого является воспроизводство минерально-сырьевой базы.</w:t>
      </w:r>
    </w:p>
    <w:p w:rsidR="00C27D1A" w:rsidRDefault="00740EB2">
      <w:pPr>
        <w:shd w:val="clear" w:color="auto" w:fill="FFFFFF"/>
        <w:spacing w:line="368" w:lineRule="exact"/>
        <w:ind w:right="688" w:firstLine="708"/>
        <w:jc w:val="both"/>
      </w:pPr>
      <w:r>
        <w:rPr>
          <w:sz w:val="28"/>
          <w:szCs w:val="28"/>
        </w:rPr>
        <w:t>Стратегией развития ОАО «</w:t>
      </w:r>
      <w:proofErr w:type="spellStart"/>
      <w:r>
        <w:rPr>
          <w:sz w:val="28"/>
          <w:szCs w:val="28"/>
        </w:rPr>
        <w:t>Росгеология</w:t>
      </w:r>
      <w:proofErr w:type="spellEnd"/>
      <w:r>
        <w:rPr>
          <w:sz w:val="28"/>
          <w:szCs w:val="28"/>
        </w:rPr>
        <w:t>» предусматривается дальнейшее усиление  общества  акционерными  предприятиями     со   100%  государственным</w:t>
      </w:r>
    </w:p>
    <w:p w:rsidR="00C27D1A" w:rsidRDefault="00C27D1A">
      <w:pPr>
        <w:shd w:val="clear" w:color="auto" w:fill="FFFFFF"/>
        <w:spacing w:line="368" w:lineRule="exact"/>
        <w:ind w:right="688" w:firstLine="708"/>
        <w:jc w:val="both"/>
        <w:sectPr w:rsidR="00C27D1A">
          <w:pgSz w:w="11909" w:h="16834"/>
          <w:pgMar w:top="1003" w:right="360" w:bottom="360" w:left="689" w:header="720" w:footer="720" w:gutter="0"/>
          <w:cols w:space="60"/>
          <w:noEndnote/>
        </w:sectPr>
      </w:pPr>
    </w:p>
    <w:p w:rsidR="00740EB2" w:rsidRDefault="00740EB2" w:rsidP="00740EB2">
      <w:pPr>
        <w:shd w:val="clear" w:color="auto" w:fill="FFFFFF"/>
        <w:spacing w:before="396" w:line="368" w:lineRule="exac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</w:p>
    <w:p w:rsidR="00C27D1A" w:rsidRDefault="00740EB2">
      <w:pPr>
        <w:shd w:val="clear" w:color="auto" w:fill="FFFFFF"/>
        <w:spacing w:before="396" w:line="368" w:lineRule="exact"/>
        <w:jc w:val="both"/>
      </w:pPr>
      <w:r>
        <w:rPr>
          <w:sz w:val="28"/>
          <w:szCs w:val="28"/>
        </w:rPr>
        <w:t xml:space="preserve">капиталом, что позволит к 2020 году освоить до 20% рынка геологоразведочных </w:t>
      </w:r>
      <w:r>
        <w:rPr>
          <w:spacing w:val="-1"/>
          <w:sz w:val="28"/>
          <w:szCs w:val="28"/>
        </w:rPr>
        <w:t xml:space="preserve">работ России. Вхождение специализированных геологических организаций в состав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Росгеология</w:t>
      </w:r>
      <w:proofErr w:type="spellEnd"/>
      <w:r>
        <w:rPr>
          <w:sz w:val="28"/>
          <w:szCs w:val="28"/>
        </w:rPr>
        <w:t xml:space="preserve">» исключит возможность приобретения их активов частными компаниями, с последующим перепрофилированием сферы их деятельности. Это </w:t>
      </w:r>
      <w:r>
        <w:rPr>
          <w:spacing w:val="-1"/>
          <w:sz w:val="28"/>
          <w:szCs w:val="28"/>
        </w:rPr>
        <w:t xml:space="preserve">даст возможность государству сохранить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получением и использованием </w:t>
      </w:r>
      <w:r>
        <w:rPr>
          <w:sz w:val="28"/>
          <w:szCs w:val="28"/>
        </w:rPr>
        <w:t>информации о геологическом строении недр, запасах стратегических видов полезных ископаемых и качестве минерального сырья.</w:t>
      </w:r>
    </w:p>
    <w:p w:rsidR="00C27D1A" w:rsidRDefault="00740EB2">
      <w:pPr>
        <w:shd w:val="clear" w:color="auto" w:fill="FFFFFF"/>
        <w:tabs>
          <w:tab w:val="left" w:pos="7388"/>
        </w:tabs>
        <w:spacing w:before="408"/>
        <w:ind w:left="4"/>
      </w:pPr>
      <w:r>
        <w:rPr>
          <w:spacing w:val="-3"/>
          <w:sz w:val="28"/>
          <w:szCs w:val="28"/>
        </w:rPr>
        <w:t xml:space="preserve">Директор Департамента </w:t>
      </w:r>
      <w:proofErr w:type="gramStart"/>
      <w:r>
        <w:rPr>
          <w:spacing w:val="-3"/>
          <w:sz w:val="28"/>
          <w:szCs w:val="28"/>
        </w:rPr>
        <w:t>государственной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C27D1A" w:rsidRDefault="00740EB2">
      <w:pPr>
        <w:shd w:val="clear" w:color="auto" w:fill="FFFFFF"/>
        <w:tabs>
          <w:tab w:val="left" w:pos="7148"/>
        </w:tabs>
        <w:spacing w:before="44"/>
        <w:ind w:left="8"/>
      </w:pPr>
      <w:r>
        <w:rPr>
          <w:spacing w:val="-3"/>
          <w:sz w:val="28"/>
          <w:szCs w:val="28"/>
        </w:rPr>
        <w:t>политики и регулирования в области</w:t>
      </w:r>
      <w:r>
        <w:rPr>
          <w:rFonts w:ascii="Arial" w:hAnsi="Arial" w:cs="Arial"/>
          <w:sz w:val="28"/>
          <w:szCs w:val="28"/>
        </w:rPr>
        <w:tab/>
      </w:r>
    </w:p>
    <w:p w:rsidR="00C642A1" w:rsidRDefault="00740EB2">
      <w:pPr>
        <w:shd w:val="clear" w:color="auto" w:fill="FFFFFF"/>
        <w:tabs>
          <w:tab w:val="left" w:pos="6768"/>
          <w:tab w:val="left" w:pos="8928"/>
        </w:tabs>
        <w:ind w:left="8"/>
      </w:pPr>
      <w:r>
        <w:rPr>
          <w:spacing w:val="-3"/>
          <w:sz w:val="28"/>
          <w:szCs w:val="28"/>
        </w:rPr>
        <w:t>геологии и недропользования</w:t>
      </w:r>
      <w:r>
        <w:rPr>
          <w:rFonts w:ascii="Arial" w:hAnsi="Arial" w:cs="Arial"/>
          <w:sz w:val="28"/>
          <w:szCs w:val="28"/>
        </w:rPr>
        <w:tab/>
      </w:r>
      <w:r w:rsidRPr="00C642A1">
        <w:rPr>
          <w:rFonts w:ascii="Arial" w:hAnsi="Arial" w:cs="Arial"/>
          <w:i/>
          <w:iCs/>
          <w:sz w:val="28"/>
          <w:szCs w:val="28"/>
        </w:rPr>
        <w:tab/>
      </w:r>
      <w:r>
        <w:rPr>
          <w:rFonts w:hAnsi="Arial"/>
          <w:spacing w:val="-1"/>
          <w:sz w:val="28"/>
          <w:szCs w:val="28"/>
          <w:lang w:val="en-US"/>
        </w:rPr>
        <w:t>A</w:t>
      </w:r>
      <w:r w:rsidRPr="00C642A1">
        <w:rPr>
          <w:rFonts w:hAnsi="Arial"/>
          <w:spacing w:val="-1"/>
          <w:sz w:val="28"/>
          <w:szCs w:val="28"/>
        </w:rPr>
        <w:t>.</w:t>
      </w:r>
      <w:r>
        <w:rPr>
          <w:rFonts w:hAnsi="Arial"/>
          <w:spacing w:val="-1"/>
          <w:sz w:val="28"/>
          <w:szCs w:val="28"/>
          <w:lang w:val="en-US"/>
        </w:rPr>
        <w:t>B</w:t>
      </w:r>
      <w:r w:rsidRPr="00C642A1">
        <w:rPr>
          <w:rFonts w:hAnsi="Arial"/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Орел</w:t>
      </w:r>
    </w:p>
    <w:sectPr w:rsidR="00C642A1" w:rsidSect="00740EB2">
      <w:pgSz w:w="11909" w:h="16834"/>
      <w:pgMar w:top="851" w:right="690" w:bottom="720" w:left="10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2A1"/>
    <w:rsid w:val="002F4C95"/>
    <w:rsid w:val="00740EB2"/>
    <w:rsid w:val="00C27D1A"/>
    <w:rsid w:val="00C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2</cp:revision>
  <dcterms:created xsi:type="dcterms:W3CDTF">2014-07-09T03:01:00Z</dcterms:created>
  <dcterms:modified xsi:type="dcterms:W3CDTF">2014-07-10T12:24:00Z</dcterms:modified>
</cp:coreProperties>
</file>