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B4" w:rsidRDefault="005346B4" w:rsidP="00534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Тюменский Росреестр: 2020 год обозначил приоритетные направления в оказании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госуслуг</w:t>
      </w:r>
      <w:proofErr w:type="spellEnd"/>
    </w:p>
    <w:p w:rsidR="005346B4" w:rsidRDefault="005346B4" w:rsidP="005346B4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textAlignment w:val="top"/>
        <w:rPr>
          <w:rFonts w:eastAsiaTheme="minorHAnsi"/>
          <w:bCs w:val="0"/>
          <w:i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 w:val="0"/>
          <w:i/>
          <w:color w:val="000000"/>
          <w:kern w:val="0"/>
          <w:sz w:val="28"/>
          <w:szCs w:val="28"/>
          <w:shd w:val="clear" w:color="auto" w:fill="FFFFFF"/>
          <w:lang w:eastAsia="en-US"/>
        </w:rPr>
        <w:t>Тюменский Росреестр непрерывно повышает процент электронных услуг ведомства</w:t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textAlignment w:val="top"/>
        <w:rPr>
          <w:rFonts w:eastAsiaTheme="minorHAnsi"/>
          <w:bCs w:val="0"/>
          <w:i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За 11 месяцев 2020 года за получением услуг Росреестра в Управление Росреестра и Филиал ФКП по Тюменской области обратилось 1 682 385 заявителей. </w:t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Проведена регистрация 414 775 прав, сделок, ограничений прав, совершено 115 777 учетных действий и 29 529 одновременных действий по учету и регистрации. В сравнении с аналогичным периодом прошлого года общее количество учетно-регистрационных действий увеличилось на 5%.</w:t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Среднее количество учетно-регистрационных действий, совершаемых Управлением в день, составило 2 489.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ограничительных мероприятий, связанных с недопущением распространения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ведомство продолжает работу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штатном режиме, рассмотрение заявлений о кадастровом учете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и регистрации прав осуществляется Управлением в установленные сроки.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Роль Росреестра при организации бесперебойной работы по приему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оформлению заявок от участников рынка в период ограничений, вызванных пандемией, крайне важна. Значительно увеличена доля сделок в электронном формате, что позволяет не только ускорить и упростить регистрацию,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но и исключает необходимость посещения гражданами мест скопления людей,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частности, МФЦ. </w:t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По состоянию на 30.11.2020 поступило 104 173 заявления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br/>
        <w:t xml:space="preserve">о государственной регистрации недвижимости в электронном виде,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br/>
        <w:t xml:space="preserve">что составило 35,6% от общего количества поступивших заявлений. </w:t>
      </w: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br/>
        <w:t xml:space="preserve">В сравнении с аналогичным периодом прошлого года доля электронных заявлений увеличена на 45,2%. </w:t>
      </w:r>
    </w:p>
    <w:p w:rsidR="005346B4" w:rsidRDefault="005346B4" w:rsidP="005346B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lang w:val="x-none"/>
        </w:rPr>
        <w:t>Доля заявлений</w:t>
      </w:r>
      <w:r>
        <w:rPr>
          <w:b w:val="0"/>
          <w:bCs w:val="0"/>
          <w:sz w:val="28"/>
          <w:szCs w:val="28"/>
          <w:lang w:val="x-none"/>
        </w:rPr>
        <w:t xml:space="preserve"> </w:t>
      </w:r>
      <w:r>
        <w:rPr>
          <w:b w:val="0"/>
          <w:bCs w:val="0"/>
          <w:sz w:val="28"/>
          <w:szCs w:val="28"/>
        </w:rPr>
        <w:t xml:space="preserve">в электронном виде, </w:t>
      </w:r>
      <w:r>
        <w:rPr>
          <w:b w:val="0"/>
          <w:sz w:val="28"/>
          <w:szCs w:val="28"/>
        </w:rPr>
        <w:t xml:space="preserve">поступивших </w:t>
      </w:r>
      <w:r>
        <w:rPr>
          <w:b w:val="0"/>
          <w:sz w:val="28"/>
          <w:szCs w:val="28"/>
          <w:lang w:val="x-none"/>
        </w:rPr>
        <w:t>от органов власти</w:t>
      </w:r>
      <w:r>
        <w:rPr>
          <w:b w:val="0"/>
          <w:sz w:val="28"/>
          <w:szCs w:val="28"/>
        </w:rPr>
        <w:t xml:space="preserve">, составила </w:t>
      </w:r>
      <w:r>
        <w:rPr>
          <w:b w:val="0"/>
          <w:sz w:val="28"/>
          <w:szCs w:val="28"/>
          <w:lang w:val="x-none"/>
        </w:rPr>
        <w:t xml:space="preserve">97,5%. </w:t>
      </w:r>
      <w:r>
        <w:rPr>
          <w:b w:val="0"/>
          <w:sz w:val="28"/>
          <w:szCs w:val="28"/>
          <w:shd w:val="clear" w:color="auto" w:fill="FFFFFF"/>
        </w:rPr>
        <w:t xml:space="preserve">Застройщиками направлено 47,8% электронных заявлений. Количество электронных документов, представленных нотариусами, увеличено на 14,7% в сравнении с аналогичным периодом прошлого года. </w:t>
      </w:r>
    </w:p>
    <w:p w:rsidR="005346B4" w:rsidRDefault="005346B4" w:rsidP="0053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Планом мероприятий по реализации федерального проекта «Ипотека»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  <w:t xml:space="preserve">национального проекта «Жилье и городская среда» предусмотрено, 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  <w:br/>
        <w:t xml:space="preserve">что к 31 декабря 2022 г. процент ипотечных сделок крупнейших банков полностью в электронном формате должен составить 20%.  Доля электронной регистрации ипотеки в Тюменской области составляет 39,8%, в сравнении 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  <w:br/>
        <w:t>с 2019 годом значение увеличено в 2,7 раза.</w:t>
      </w:r>
    </w:p>
    <w:p w:rsidR="005346B4" w:rsidRDefault="005346B4" w:rsidP="005346B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«Ведомство уделяет особое внимание оптимизации процесса регистрации ипотеки в связи с увеличением количества сделок благодаря льготным программам, - отметил руководитель Управления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Тюменской области Владимир Кораблёв. -  Уже сегодня регистрация по льготной ипотеке осуществляется в течение 2-х дней.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итогам действия программы на 1 декабря Тюменская область на первом месте среди субъектов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УрФО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зарегистрированных «льготных ипотек».</w:t>
      </w:r>
    </w:p>
    <w:p w:rsidR="005346B4" w:rsidRDefault="005346B4" w:rsidP="005346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kern w:val="3"/>
          <w:sz w:val="28"/>
          <w:szCs w:val="28"/>
          <w:lang w:eastAsia="zh-CN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совершить регистрационные действия за собственника </w:t>
      </w:r>
      <w:r>
        <w:rPr>
          <w:rFonts w:ascii="Times New Roman" w:hAnsi="Times New Roman"/>
          <w:sz w:val="28"/>
          <w:szCs w:val="28"/>
        </w:rPr>
        <w:br/>
        <w:t>может не только банк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риелтор или нотариус, но и застройщик - в августе текущего года тюменским Управлением зарегистрировано первое право собственности дольщика по заявлению застройщика. </w:t>
      </w:r>
    </w:p>
    <w:p w:rsidR="005346B4" w:rsidRDefault="005346B4" w:rsidP="0053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Отдельное внимание уделяется Управлением развитию электронного взаимодействия при регистрации договоров долевого участия (ДДУ).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Порядка 70% заявлений о регистрации договоров поступает в электронном виде. 75,6% ДДУ зарегистрировано с применением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-счетов. </w:t>
      </w:r>
    </w:p>
    <w:p w:rsidR="005346B4" w:rsidRDefault="005346B4" w:rsidP="005346B4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числе наиболее востребованных электронных услуг Росреестра – получение сведений из ЕГРН. </w:t>
      </w:r>
      <w:r>
        <w:rPr>
          <w:rFonts w:ascii="Times New Roman" w:hAnsi="Times New Roman"/>
          <w:sz w:val="28"/>
          <w:szCs w:val="28"/>
        </w:rPr>
        <w:t xml:space="preserve">Доля запросов о предоставлении сведений </w:t>
      </w:r>
      <w:r>
        <w:rPr>
          <w:rFonts w:ascii="Times New Roman" w:hAnsi="Times New Roman"/>
          <w:sz w:val="28"/>
          <w:szCs w:val="28"/>
        </w:rPr>
        <w:br/>
        <w:t xml:space="preserve">из ЕГРН, поступивших в Управление и Филиал Кадастровой палаты </w:t>
      </w:r>
      <w:r>
        <w:rPr>
          <w:rFonts w:ascii="Times New Roman" w:hAnsi="Times New Roman"/>
          <w:sz w:val="28"/>
          <w:szCs w:val="28"/>
        </w:rPr>
        <w:br/>
        <w:t xml:space="preserve">в электронном виде составила 95,6%. 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Реализация проекта Росреестра по наполнению ЕГРН необходимыми сведениями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сентябре 2020 г. Управление совместно с Правительством Тюменской области приступило к реализации мероприятий  Дорожной карты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 наполнению ЕГРН необходимыми сведениями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Тюменской области, предусматривающей мероприятия, направленные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на обеспечение полноты и качества данных ЕГРН, сокращение сроков оказания государственных услуг в учетно-регистрационной сфере, предоставления сведений, активизацию работы по достижению показателей Целевых моделей по регистрации прав и кадастровому учету.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Качество и полнота данных ЕГРН существенным образом оказывают влияние на инвестиционную, экономическую и социальную повестку Тюменской области. Наличие данных сведений в значительной степени влияет на формирование консолидированного бюджета Тюменской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по имущественным налогам и сборам, а также обеспечивает защиту прав собственников при реализации инвестиционных и инфраструктурных проектов в регионе.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Вовлечение земельных участков и территорий в жилищное строительство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исполнения поручений Президента и Правительства Российской Федерации Росреестром проведен анализ эффективности использования земельных участков для определения возможности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их вовлечения в жилищное строительство. На территории Тюменской области данная работа проведена при участии представителей территориальных органов федеральных органов власти и региональных органов власти, вошедших в состав Оперативного штаба, созданного на базе Управления.  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Инвестиционный климат. Национальный рейтинг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Совместно с Правительством Тюменской области продолжена реализация мероприятий, направленных на улучшение инвестиционного климата субъекта.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Национального рейтинга состояния инвестиционного климата 2020, проводимого Агентством стратегических инициатив, значения всех показателей Тюменской области по направлению «Эффективность процедур по регистрации прав собственности» вошли в группу «А»,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что означает максимально высокий балл.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«На сегодняшний день Росреестром предоставлены все инструменты – и законодательные, и технические -  необходимые для получения услуг в сфере недвижимости, - отметил Владимир Кораблёв. – Осведомлённость наших заявителей о новейших возможностях в области регистрации и учета способствует качественному получению услуг: выбору наиболее комфортного способа обращения, минимизации затрат, и, как следствие, удовлетворенности её результатом».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 предпринимательским сообществом выстроено по принципу конструктивного диалога и носит разноплановый характер от методической помощи в рамках семинаров до выездных мероприятий, на которых специалисты Управления оказывают практическую помощь в получении услуг Росреестра.</w:t>
      </w:r>
    </w:p>
    <w:p w:rsidR="005346B4" w:rsidRDefault="005346B4" w:rsidP="005346B4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«Своей первоочередной задачей считаем современный подход </w:t>
      </w:r>
      <w:r>
        <w:rPr>
          <w:rFonts w:ascii="Times New Roman" w:hAnsi="Times New Roman" w:cs="Times New Roman"/>
          <w:sz w:val="28"/>
        </w:rPr>
        <w:br/>
        <w:t>к предоставлению государственных услуг, - сказал руководитель Управления. – Он проявляется в минимизации затрат со стороны заявителя, удобстве доступа к услуге и упрощении ее получения».</w:t>
      </w:r>
    </w:p>
    <w:p w:rsidR="005346B4" w:rsidRDefault="005346B4" w:rsidP="00534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Владимир Кораблёв отдельно отметил, что существенное значение здесь имеет тот вклад, который своей профессиональной работой вносят застройщики, представители сообществ кадастровых инженеров и риелторов, а также иные участники рынка недвижимости. Именно качество совершаемых ими действий и подготавливаемых документов, позволяет достигать общего положительного результата для заявителей.</w:t>
      </w:r>
    </w:p>
    <w:p w:rsidR="005346B4" w:rsidRDefault="005346B4" w:rsidP="005346B4">
      <w:pPr>
        <w:pStyle w:val="Default"/>
        <w:ind w:firstLine="709"/>
        <w:jc w:val="both"/>
        <w:rPr>
          <w:rFonts w:ascii="Times New Roman" w:hAnsi="Times New Roman" w:cs="Times New Roman"/>
          <w:b/>
          <w:i/>
        </w:rPr>
      </w:pPr>
    </w:p>
    <w:p w:rsidR="005346B4" w:rsidRDefault="005346B4" w:rsidP="005346B4">
      <w:pPr>
        <w:pStyle w:val="Default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---</w:t>
      </w:r>
    </w:p>
    <w:p w:rsidR="005346B4" w:rsidRDefault="005346B4" w:rsidP="005346B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различных сферах деятельности Управления успешно реализованы в 2020 году во взаимодействии с Правительством Тюменской области, Прокуратурой Тюменской области, Уполномоченным по защите прав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предпринимателей Тюменской области, Департаментом имущественных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отношений Тюменской области, Главным управлением строительства Тюменской области, Департаментом жилищно-коммунального хозяйства Тюменской области и Фонда капитального ремонта многоквартирных жилых домов Тюменской области, </w:t>
      </w:r>
      <w:r w:rsidR="003C4CCA">
        <w:rPr>
          <w:rFonts w:ascii="Times New Roman" w:hAnsi="Times New Roman" w:cs="Times New Roman"/>
          <w:color w:val="auto"/>
          <w:sz w:val="28"/>
          <w:szCs w:val="28"/>
        </w:rPr>
        <w:t xml:space="preserve">Комитетом по охране и использованию объектов историко-культурного наследия Тюменской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другими государственными органами, а также органами местного самоуправления, представителями предпринимательского и профессионального сообществ. </w:t>
      </w:r>
      <w:r>
        <w:rPr>
          <w:rFonts w:ascii="Times New Roman" w:hAnsi="Times New Roman"/>
          <w:sz w:val="28"/>
          <w:szCs w:val="28"/>
        </w:rPr>
        <w:t>Эффективность взаимодействия напрямую влияет на качество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государственных услуг. Работа будет продолжена.</w:t>
      </w:r>
    </w:p>
    <w:p w:rsidR="003C1AE1" w:rsidRPr="003C1AE1" w:rsidRDefault="003C1AE1" w:rsidP="003C1A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5346B4" w:rsidRDefault="005346B4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6B4" w:rsidRDefault="005346B4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6B4" w:rsidRDefault="005346B4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6B4" w:rsidRDefault="005346B4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6B4" w:rsidRDefault="005346B4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AE1" w:rsidRDefault="003C1AE1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6B4" w:rsidRPr="003C1AE1" w:rsidRDefault="005346B4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6B4" w:rsidRPr="003C1AE1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1B" w:rsidRDefault="00F83D1B" w:rsidP="00F06EA9">
      <w:pPr>
        <w:spacing w:after="0" w:line="240" w:lineRule="auto"/>
      </w:pPr>
      <w:r>
        <w:separator/>
      </w:r>
    </w:p>
  </w:endnote>
  <w:endnote w:type="continuationSeparator" w:id="0">
    <w:p w:rsidR="00F83D1B" w:rsidRDefault="00F83D1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1B" w:rsidRDefault="00F83D1B" w:rsidP="00F06EA9">
      <w:pPr>
        <w:spacing w:after="0" w:line="240" w:lineRule="auto"/>
      </w:pPr>
      <w:r>
        <w:separator/>
      </w:r>
    </w:p>
  </w:footnote>
  <w:footnote w:type="continuationSeparator" w:id="0">
    <w:p w:rsidR="00F83D1B" w:rsidRDefault="00F83D1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B4E7A"/>
    <w:rsid w:val="000E2560"/>
    <w:rsid w:val="000E6043"/>
    <w:rsid w:val="000F5AB1"/>
    <w:rsid w:val="00132EF5"/>
    <w:rsid w:val="00141B9D"/>
    <w:rsid w:val="001548C5"/>
    <w:rsid w:val="001677C1"/>
    <w:rsid w:val="0017795F"/>
    <w:rsid w:val="00182712"/>
    <w:rsid w:val="00184413"/>
    <w:rsid w:val="001C1430"/>
    <w:rsid w:val="001C75A3"/>
    <w:rsid w:val="001C79B0"/>
    <w:rsid w:val="001F2B42"/>
    <w:rsid w:val="00203F52"/>
    <w:rsid w:val="00225C91"/>
    <w:rsid w:val="002301AC"/>
    <w:rsid w:val="00236223"/>
    <w:rsid w:val="002550A1"/>
    <w:rsid w:val="00256DCE"/>
    <w:rsid w:val="00261047"/>
    <w:rsid w:val="0028613B"/>
    <w:rsid w:val="00287448"/>
    <w:rsid w:val="00294B1A"/>
    <w:rsid w:val="002A36AD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4CCA"/>
    <w:rsid w:val="003C72B3"/>
    <w:rsid w:val="003E5AF5"/>
    <w:rsid w:val="003F56D5"/>
    <w:rsid w:val="004025CA"/>
    <w:rsid w:val="00414958"/>
    <w:rsid w:val="00427EDB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505682"/>
    <w:rsid w:val="00530A8C"/>
    <w:rsid w:val="005346B4"/>
    <w:rsid w:val="00536321"/>
    <w:rsid w:val="00536E67"/>
    <w:rsid w:val="0054186C"/>
    <w:rsid w:val="00582600"/>
    <w:rsid w:val="00584AB1"/>
    <w:rsid w:val="00585D09"/>
    <w:rsid w:val="005A2050"/>
    <w:rsid w:val="005D0D4B"/>
    <w:rsid w:val="005E47C2"/>
    <w:rsid w:val="0064165B"/>
    <w:rsid w:val="00654F0B"/>
    <w:rsid w:val="00674C09"/>
    <w:rsid w:val="006820FE"/>
    <w:rsid w:val="00691D1E"/>
    <w:rsid w:val="006A2BCD"/>
    <w:rsid w:val="006A4710"/>
    <w:rsid w:val="006B70A5"/>
    <w:rsid w:val="006C626F"/>
    <w:rsid w:val="006D00BD"/>
    <w:rsid w:val="006D1DD2"/>
    <w:rsid w:val="006D1F67"/>
    <w:rsid w:val="006D2C93"/>
    <w:rsid w:val="006D774C"/>
    <w:rsid w:val="006E0161"/>
    <w:rsid w:val="006E546F"/>
    <w:rsid w:val="006F6B3B"/>
    <w:rsid w:val="007210BB"/>
    <w:rsid w:val="00723FE6"/>
    <w:rsid w:val="00737F07"/>
    <w:rsid w:val="00742F6C"/>
    <w:rsid w:val="007447E3"/>
    <w:rsid w:val="00752369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4C40"/>
    <w:rsid w:val="00872AA8"/>
    <w:rsid w:val="00876C99"/>
    <w:rsid w:val="008922B6"/>
    <w:rsid w:val="008B4550"/>
    <w:rsid w:val="008C40D7"/>
    <w:rsid w:val="008D3BED"/>
    <w:rsid w:val="008D3E19"/>
    <w:rsid w:val="008E748E"/>
    <w:rsid w:val="008F452E"/>
    <w:rsid w:val="008F4AA0"/>
    <w:rsid w:val="009331F9"/>
    <w:rsid w:val="009349D3"/>
    <w:rsid w:val="00935148"/>
    <w:rsid w:val="00956FB9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F6533"/>
    <w:rsid w:val="00A05C6B"/>
    <w:rsid w:val="00A07C5F"/>
    <w:rsid w:val="00A566CE"/>
    <w:rsid w:val="00A67180"/>
    <w:rsid w:val="00A7767F"/>
    <w:rsid w:val="00A94FF6"/>
    <w:rsid w:val="00AD752E"/>
    <w:rsid w:val="00AE372B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C47C0"/>
    <w:rsid w:val="00D0376C"/>
    <w:rsid w:val="00D048B0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E44D1"/>
    <w:rsid w:val="00E343DA"/>
    <w:rsid w:val="00E47368"/>
    <w:rsid w:val="00E555B6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A3E"/>
    <w:rsid w:val="00F83D1B"/>
    <w:rsid w:val="00F93834"/>
    <w:rsid w:val="00FA2EA3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E251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3C4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8A4D-3E0A-461B-B4D3-142C97B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3</cp:revision>
  <cp:lastPrinted>2020-03-27T10:38:00Z</cp:lastPrinted>
  <dcterms:created xsi:type="dcterms:W3CDTF">2020-12-30T09:12:00Z</dcterms:created>
  <dcterms:modified xsi:type="dcterms:W3CDTF">2020-12-30T09:20:00Z</dcterms:modified>
</cp:coreProperties>
</file>