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903" w:rsidRDefault="00161848">
      <w:pPr>
        <w:tabs>
          <w:tab w:val="left" w:pos="5715"/>
        </w:tabs>
        <w:spacing w:after="0" w:line="240" w:lineRule="auto"/>
        <w:jc w:val="right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ab/>
      </w:r>
      <w:r w:rsidR="00D14F74">
        <w:rPr>
          <w:rFonts w:ascii="Times New Roman" w:eastAsiaTheme="minorHAnsi" w:hAnsi="Times New Roman"/>
          <w:b/>
          <w:bCs/>
          <w:sz w:val="28"/>
          <w:szCs w:val="28"/>
        </w:rPr>
        <w:t>2</w:t>
      </w:r>
      <w:r w:rsidR="00284BA2">
        <w:rPr>
          <w:rFonts w:ascii="Times New Roman" w:eastAsiaTheme="minorHAnsi" w:hAnsi="Times New Roman"/>
          <w:b/>
          <w:bCs/>
          <w:sz w:val="28"/>
          <w:szCs w:val="28"/>
        </w:rPr>
        <w:t>7</w:t>
      </w:r>
      <w:r w:rsidR="004F49B0">
        <w:rPr>
          <w:rFonts w:ascii="Times New Roman" w:eastAsiaTheme="minorHAnsi" w:hAnsi="Times New Roman"/>
          <w:b/>
          <w:bCs/>
          <w:sz w:val="28"/>
          <w:szCs w:val="28"/>
        </w:rPr>
        <w:t>.08.2026</w:t>
      </w:r>
    </w:p>
    <w:p w:rsidR="00A07903" w:rsidRDefault="00A07903">
      <w:pPr>
        <w:tabs>
          <w:tab w:val="left" w:pos="5715"/>
        </w:tabs>
        <w:spacing w:after="0" w:line="240" w:lineRule="auto"/>
        <w:jc w:val="right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A07903" w:rsidRPr="00AC6F8B" w:rsidRDefault="00AC6F8B">
      <w:pPr>
        <w:tabs>
          <w:tab w:val="left" w:pos="5715"/>
        </w:tabs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</w:rPr>
      </w:pPr>
      <w:r>
        <w:rPr>
          <w:rFonts w:ascii="Times New Roman" w:eastAsiaTheme="minorHAnsi" w:hAnsi="Times New Roman"/>
          <w:b/>
          <w:bCs/>
          <w:sz w:val="28"/>
          <w:szCs w:val="28"/>
        </w:rPr>
        <w:t xml:space="preserve">Тюменский Росреестр поставил на учет свыше 20 тысяч объектов </w:t>
      </w:r>
      <w:r w:rsidRPr="00AC6F8B">
        <w:rPr>
          <w:rFonts w:ascii="Tinos" w:eastAsia="Tinos" w:hAnsi="Tinos" w:cs="Tinos"/>
          <w:b/>
          <w:sz w:val="28"/>
          <w:szCs w:val="28"/>
        </w:rPr>
        <w:t>газораспределительной сети</w:t>
      </w:r>
    </w:p>
    <w:p w:rsidR="00CA7A6A" w:rsidRPr="00CA7A6A" w:rsidRDefault="00CA7A6A" w:rsidP="00CA7A6A">
      <w:pPr>
        <w:spacing w:after="0" w:line="240" w:lineRule="auto"/>
        <w:jc w:val="both"/>
        <w:rPr>
          <w:rFonts w:ascii="Tinos" w:eastAsia="Tinos" w:hAnsi="Tinos" w:cs="Tinos"/>
          <w:sz w:val="28"/>
          <w:szCs w:val="28"/>
        </w:rPr>
      </w:pPr>
    </w:p>
    <w:p w:rsidR="00CA7A6A" w:rsidRDefault="00CA7A6A" w:rsidP="00CA7A6A">
      <w:pPr>
        <w:spacing w:after="0" w:line="240" w:lineRule="auto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В рамках </w:t>
      </w:r>
      <w:r w:rsidRPr="00CA7A6A">
        <w:rPr>
          <w:rFonts w:ascii="Tinos" w:eastAsia="Tinos" w:hAnsi="Tinos" w:cs="Tinos"/>
          <w:sz w:val="28"/>
          <w:szCs w:val="28"/>
        </w:rPr>
        <w:t>догазификации объектов капитального строительства</w:t>
      </w:r>
      <w:r>
        <w:rPr>
          <w:rFonts w:ascii="Tinos" w:eastAsia="Tinos" w:hAnsi="Tinos" w:cs="Tinos"/>
          <w:sz w:val="28"/>
          <w:szCs w:val="28"/>
        </w:rPr>
        <w:t xml:space="preserve"> на территории Тюменской области </w:t>
      </w:r>
      <w:r w:rsidRPr="00CA7A6A">
        <w:rPr>
          <w:rFonts w:ascii="Tinos" w:eastAsia="Tinos" w:hAnsi="Tinos" w:cs="Tinos"/>
          <w:sz w:val="28"/>
          <w:szCs w:val="28"/>
        </w:rPr>
        <w:t xml:space="preserve">осуществляется постановка на </w:t>
      </w:r>
      <w:r>
        <w:rPr>
          <w:rFonts w:ascii="Tinos" w:eastAsia="Tinos" w:hAnsi="Tinos" w:cs="Tinos"/>
          <w:sz w:val="28"/>
          <w:szCs w:val="28"/>
        </w:rPr>
        <w:t xml:space="preserve">кадастровый </w:t>
      </w:r>
      <w:r w:rsidRPr="00CA7A6A">
        <w:rPr>
          <w:rFonts w:ascii="Tinos" w:eastAsia="Tinos" w:hAnsi="Tinos" w:cs="Tinos"/>
          <w:sz w:val="28"/>
          <w:szCs w:val="28"/>
        </w:rPr>
        <w:t>учет и регистрация права собственности на объекты газораспределительной сети.</w:t>
      </w:r>
    </w:p>
    <w:p w:rsidR="00284BA2" w:rsidRDefault="00284BA2" w:rsidP="00CA7A6A">
      <w:pPr>
        <w:spacing w:after="0" w:line="240" w:lineRule="auto"/>
        <w:jc w:val="both"/>
        <w:rPr>
          <w:rFonts w:ascii="Tinos" w:eastAsia="Tinos" w:hAnsi="Tinos" w:cs="Tinos"/>
          <w:sz w:val="28"/>
          <w:szCs w:val="28"/>
        </w:rPr>
      </w:pPr>
    </w:p>
    <w:p w:rsidR="00CA7A6A" w:rsidRPr="00CA7A6A" w:rsidRDefault="00CA7A6A" w:rsidP="00CA7A6A">
      <w:pPr>
        <w:spacing w:after="0" w:line="240" w:lineRule="auto"/>
        <w:jc w:val="both"/>
        <w:rPr>
          <w:rFonts w:ascii="Tinos" w:eastAsia="Tinos" w:hAnsi="Tinos" w:cs="Tinos"/>
          <w:sz w:val="28"/>
          <w:szCs w:val="28"/>
        </w:rPr>
      </w:pPr>
      <w:r w:rsidRPr="00CA7A6A">
        <w:rPr>
          <w:rFonts w:ascii="Tinos" w:eastAsia="Tinos" w:hAnsi="Tinos" w:cs="Tinos"/>
          <w:sz w:val="28"/>
          <w:szCs w:val="28"/>
        </w:rPr>
        <w:t>С начала действия программы социальной газификации (с 2021 года по настоящее время) на территории региона учетно-регистрационные действия проведены в отношении 20</w:t>
      </w:r>
      <w:r>
        <w:rPr>
          <w:rFonts w:ascii="Tinos" w:eastAsia="Tinos" w:hAnsi="Tinos" w:cs="Tinos"/>
          <w:sz w:val="28"/>
          <w:szCs w:val="28"/>
        </w:rPr>
        <w:t xml:space="preserve"> </w:t>
      </w:r>
      <w:r w:rsidRPr="00CA7A6A">
        <w:rPr>
          <w:rFonts w:ascii="Tinos" w:eastAsia="Tinos" w:hAnsi="Tinos" w:cs="Tinos"/>
          <w:sz w:val="28"/>
          <w:szCs w:val="28"/>
        </w:rPr>
        <w:t>597 о</w:t>
      </w:r>
      <w:r>
        <w:rPr>
          <w:rFonts w:ascii="Tinos" w:eastAsia="Tinos" w:hAnsi="Tinos" w:cs="Tinos"/>
          <w:sz w:val="28"/>
          <w:szCs w:val="28"/>
        </w:rPr>
        <w:t>бъектов сетей газораспределения.</w:t>
      </w:r>
    </w:p>
    <w:p w:rsidR="00284BA2" w:rsidRDefault="00284BA2" w:rsidP="00CA7A6A">
      <w:pPr>
        <w:spacing w:after="0" w:line="240" w:lineRule="auto"/>
        <w:jc w:val="both"/>
        <w:rPr>
          <w:rFonts w:ascii="Tinos" w:eastAsia="Tinos" w:hAnsi="Tinos" w:cs="Tinos"/>
          <w:sz w:val="28"/>
          <w:szCs w:val="28"/>
        </w:rPr>
      </w:pPr>
    </w:p>
    <w:p w:rsidR="00CA7A6A" w:rsidRPr="00CA7A6A" w:rsidRDefault="00CA7A6A" w:rsidP="00CA7A6A">
      <w:pPr>
        <w:spacing w:after="0" w:line="240" w:lineRule="auto"/>
        <w:jc w:val="both"/>
        <w:rPr>
          <w:rFonts w:ascii="Tinos" w:eastAsia="Tinos" w:hAnsi="Tinos" w:cs="Tinos"/>
          <w:sz w:val="28"/>
          <w:szCs w:val="28"/>
        </w:rPr>
      </w:pPr>
      <w:r w:rsidRPr="00CA7A6A">
        <w:rPr>
          <w:rFonts w:ascii="Tinos" w:eastAsia="Tinos" w:hAnsi="Tinos" w:cs="Tinos"/>
          <w:sz w:val="28"/>
          <w:szCs w:val="28"/>
        </w:rPr>
        <w:t>«</w:t>
      </w:r>
      <w:r w:rsidR="00AC6F8B">
        <w:rPr>
          <w:rFonts w:ascii="Tinos" w:eastAsia="Tinos" w:hAnsi="Tinos" w:cs="Tinos"/>
          <w:sz w:val="28"/>
          <w:szCs w:val="28"/>
        </w:rPr>
        <w:t>Постановка на учет этих и иных объектов позволяет</w:t>
      </w:r>
      <w:r w:rsidRPr="00CA7A6A">
        <w:rPr>
          <w:rFonts w:ascii="Tinos" w:eastAsia="Tinos" w:hAnsi="Tinos" w:cs="Tinos"/>
          <w:sz w:val="28"/>
          <w:szCs w:val="28"/>
        </w:rPr>
        <w:t xml:space="preserve"> наполн</w:t>
      </w:r>
      <w:r w:rsidR="00AC6F8B">
        <w:rPr>
          <w:rFonts w:ascii="Tinos" w:eastAsia="Tinos" w:hAnsi="Tinos" w:cs="Tinos"/>
          <w:sz w:val="28"/>
          <w:szCs w:val="28"/>
        </w:rPr>
        <w:t>ять</w:t>
      </w:r>
      <w:r w:rsidRPr="00CA7A6A">
        <w:rPr>
          <w:rFonts w:ascii="Tinos" w:eastAsia="Tinos" w:hAnsi="Tinos" w:cs="Tinos"/>
          <w:sz w:val="28"/>
          <w:szCs w:val="28"/>
        </w:rPr>
        <w:t xml:space="preserve"> Един</w:t>
      </w:r>
      <w:r w:rsidR="00AC6F8B">
        <w:rPr>
          <w:rFonts w:ascii="Tinos" w:eastAsia="Tinos" w:hAnsi="Tinos" w:cs="Tinos"/>
          <w:sz w:val="28"/>
          <w:szCs w:val="28"/>
        </w:rPr>
        <w:t>ый</w:t>
      </w:r>
      <w:r w:rsidRPr="00CA7A6A">
        <w:rPr>
          <w:rFonts w:ascii="Tinos" w:eastAsia="Tinos" w:hAnsi="Tinos" w:cs="Tinos"/>
          <w:sz w:val="28"/>
          <w:szCs w:val="28"/>
        </w:rPr>
        <w:t xml:space="preserve"> государствен</w:t>
      </w:r>
      <w:r>
        <w:rPr>
          <w:rFonts w:ascii="Tinos" w:eastAsia="Tinos" w:hAnsi="Tinos" w:cs="Tinos"/>
          <w:sz w:val="28"/>
          <w:szCs w:val="28"/>
        </w:rPr>
        <w:t>н</w:t>
      </w:r>
      <w:r w:rsidR="00AC6F8B">
        <w:rPr>
          <w:rFonts w:ascii="Tinos" w:eastAsia="Tinos" w:hAnsi="Tinos" w:cs="Tinos"/>
          <w:sz w:val="28"/>
          <w:szCs w:val="28"/>
        </w:rPr>
        <w:t>ый реестр</w:t>
      </w:r>
      <w:r>
        <w:rPr>
          <w:rFonts w:ascii="Tinos" w:eastAsia="Tinos" w:hAnsi="Tinos" w:cs="Tinos"/>
          <w:sz w:val="28"/>
          <w:szCs w:val="28"/>
        </w:rPr>
        <w:t xml:space="preserve"> недвижимости</w:t>
      </w:r>
      <w:r w:rsidR="00AC6F8B">
        <w:rPr>
          <w:rFonts w:ascii="Tinos" w:eastAsia="Tinos" w:hAnsi="Tinos" w:cs="Tinos"/>
          <w:sz w:val="28"/>
          <w:szCs w:val="28"/>
        </w:rPr>
        <w:t xml:space="preserve"> полными и точными сведениями,</w:t>
      </w:r>
      <w:r w:rsidRPr="00CA7A6A">
        <w:rPr>
          <w:rFonts w:ascii="Tinos" w:eastAsia="Tinos" w:hAnsi="Tinos" w:cs="Tinos"/>
          <w:sz w:val="28"/>
          <w:szCs w:val="28"/>
        </w:rPr>
        <w:t xml:space="preserve"> </w:t>
      </w:r>
      <w:r w:rsidR="00AC6F8B">
        <w:rPr>
          <w:rFonts w:ascii="Tinos" w:eastAsia="Tinos" w:hAnsi="Tinos" w:cs="Tinos"/>
          <w:sz w:val="28"/>
          <w:szCs w:val="28"/>
        </w:rPr>
        <w:t>что</w:t>
      </w:r>
      <w:r w:rsidRPr="00CA7A6A">
        <w:rPr>
          <w:rFonts w:ascii="Tinos" w:eastAsia="Tinos" w:hAnsi="Tinos" w:cs="Tinos"/>
          <w:sz w:val="28"/>
          <w:szCs w:val="28"/>
        </w:rPr>
        <w:t xml:space="preserve"> способству</w:t>
      </w:r>
      <w:r w:rsidR="00AC6F8B">
        <w:rPr>
          <w:rFonts w:ascii="Tinos" w:eastAsia="Tinos" w:hAnsi="Tinos" w:cs="Tinos"/>
          <w:sz w:val="28"/>
          <w:szCs w:val="28"/>
        </w:rPr>
        <w:t>е</w:t>
      </w:r>
      <w:r w:rsidRPr="00CA7A6A">
        <w:rPr>
          <w:rFonts w:ascii="Tinos" w:eastAsia="Tinos" w:hAnsi="Tinos" w:cs="Tinos"/>
          <w:sz w:val="28"/>
          <w:szCs w:val="28"/>
        </w:rPr>
        <w:t xml:space="preserve">т развитию благоприятного инвестиционного климата и устойчивого экономического развития региона, а также упрощают процедуру газификации жилых домов </w:t>
      </w:r>
      <w:r w:rsidR="00A12E24">
        <w:rPr>
          <w:rFonts w:ascii="Tinos" w:eastAsia="Tinos" w:hAnsi="Tinos" w:cs="Tinos"/>
          <w:sz w:val="28"/>
          <w:szCs w:val="28"/>
        </w:rPr>
        <w:t xml:space="preserve">в населённых пунктах и СНТ», – </w:t>
      </w:r>
      <w:proofErr w:type="gramStart"/>
      <w:r w:rsidR="00BB3FFD">
        <w:rPr>
          <w:rFonts w:ascii="Tinos" w:eastAsia="Tinos" w:hAnsi="Tinos" w:cs="Tinos"/>
          <w:sz w:val="28"/>
          <w:szCs w:val="28"/>
        </w:rPr>
        <w:t xml:space="preserve">отметил  </w:t>
      </w:r>
      <w:r w:rsidR="00660173">
        <w:rPr>
          <w:rFonts w:ascii="Tinos" w:eastAsia="Tinos" w:hAnsi="Tinos" w:cs="Tinos"/>
          <w:sz w:val="28"/>
          <w:szCs w:val="28"/>
        </w:rPr>
        <w:t>заместитель</w:t>
      </w:r>
      <w:proofErr w:type="gramEnd"/>
      <w:r w:rsidR="00660173">
        <w:rPr>
          <w:rFonts w:ascii="Tinos" w:eastAsia="Tinos" w:hAnsi="Tinos" w:cs="Tinos"/>
          <w:sz w:val="28"/>
          <w:szCs w:val="28"/>
        </w:rPr>
        <w:t xml:space="preserve"> </w:t>
      </w:r>
      <w:r w:rsidR="00AC6F8B">
        <w:rPr>
          <w:rFonts w:ascii="Tinos" w:eastAsia="Tinos" w:hAnsi="Tinos" w:cs="Tinos"/>
          <w:sz w:val="28"/>
          <w:szCs w:val="28"/>
        </w:rPr>
        <w:t>руководи</w:t>
      </w:r>
      <w:bookmarkStart w:id="0" w:name="_GoBack"/>
      <w:bookmarkEnd w:id="0"/>
      <w:r w:rsidR="00AC6F8B">
        <w:rPr>
          <w:rFonts w:ascii="Tinos" w:eastAsia="Tinos" w:hAnsi="Tinos" w:cs="Tinos"/>
          <w:sz w:val="28"/>
          <w:szCs w:val="28"/>
        </w:rPr>
        <w:t>тел</w:t>
      </w:r>
      <w:r w:rsidR="00660173">
        <w:rPr>
          <w:rFonts w:ascii="Tinos" w:eastAsia="Tinos" w:hAnsi="Tinos" w:cs="Tinos"/>
          <w:sz w:val="28"/>
          <w:szCs w:val="28"/>
        </w:rPr>
        <w:t>я</w:t>
      </w:r>
      <w:r w:rsidR="00AC6F8B">
        <w:rPr>
          <w:rFonts w:ascii="Tinos" w:eastAsia="Tinos" w:hAnsi="Tinos" w:cs="Tinos"/>
          <w:sz w:val="28"/>
          <w:szCs w:val="28"/>
        </w:rPr>
        <w:t xml:space="preserve"> Управления </w:t>
      </w:r>
      <w:r w:rsidR="00660173">
        <w:rPr>
          <w:rFonts w:ascii="Tinos" w:eastAsia="Tinos" w:hAnsi="Tinos" w:cs="Tinos"/>
          <w:sz w:val="28"/>
          <w:szCs w:val="28"/>
        </w:rPr>
        <w:t>Игорь Ткаченко</w:t>
      </w:r>
      <w:r>
        <w:rPr>
          <w:rFonts w:ascii="Tinos" w:eastAsia="Tinos" w:hAnsi="Tinos" w:cs="Tinos"/>
          <w:sz w:val="28"/>
          <w:szCs w:val="28"/>
        </w:rPr>
        <w:t>.</w:t>
      </w:r>
    </w:p>
    <w:p w:rsidR="00284BA2" w:rsidRDefault="00284BA2" w:rsidP="00CA7A6A">
      <w:pPr>
        <w:spacing w:after="0" w:line="240" w:lineRule="auto"/>
        <w:jc w:val="both"/>
        <w:rPr>
          <w:rFonts w:ascii="Tinos" w:eastAsia="Tinos" w:hAnsi="Tinos" w:cs="Tinos"/>
          <w:sz w:val="28"/>
          <w:szCs w:val="28"/>
        </w:rPr>
      </w:pPr>
    </w:p>
    <w:p w:rsidR="00AC6F8B" w:rsidRDefault="00AC6F8B" w:rsidP="00CA7A6A">
      <w:pPr>
        <w:spacing w:after="0" w:line="240" w:lineRule="auto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Напомним, д</w:t>
      </w:r>
      <w:r w:rsidRPr="00CA7A6A">
        <w:rPr>
          <w:rFonts w:ascii="Tinos" w:eastAsia="Tinos" w:hAnsi="Tinos" w:cs="Tinos"/>
          <w:sz w:val="28"/>
          <w:szCs w:val="28"/>
        </w:rPr>
        <w:t>ля граждан запущен онлайн‑сервис «Социальная газификация СНТ» на сайте ППК «Роскадастр» (</w:t>
      </w:r>
      <w:hyperlink r:id="rId8" w:history="1">
        <w:r w:rsidRPr="00FE4C97">
          <w:rPr>
            <w:rStyle w:val="af4"/>
            <w:rFonts w:ascii="Tinos" w:eastAsia="Tinos" w:hAnsi="Tinos" w:cs="Tinos"/>
            <w:sz w:val="28"/>
            <w:szCs w:val="28"/>
          </w:rPr>
          <w:t>https://kadastr.ru/</w:t>
        </w:r>
      </w:hyperlink>
      <w:r>
        <w:rPr>
          <w:rFonts w:ascii="Tinos" w:eastAsia="Tinos" w:hAnsi="Tinos" w:cs="Tinos"/>
          <w:sz w:val="28"/>
          <w:szCs w:val="28"/>
        </w:rPr>
        <w:t>)</w:t>
      </w:r>
      <w:r w:rsidRPr="00CA7A6A">
        <w:rPr>
          <w:rFonts w:ascii="Tinos" w:eastAsia="Tinos" w:hAnsi="Tinos" w:cs="Tinos"/>
          <w:sz w:val="28"/>
          <w:szCs w:val="28"/>
        </w:rPr>
        <w:t>: здесь можно заказать кадастровые работы и подать заявление о регистрации пра</w:t>
      </w:r>
      <w:r>
        <w:rPr>
          <w:rFonts w:ascii="Tinos" w:eastAsia="Tinos" w:hAnsi="Tinos" w:cs="Tinos"/>
          <w:sz w:val="28"/>
          <w:szCs w:val="28"/>
        </w:rPr>
        <w:t>в в электронном виде.</w:t>
      </w:r>
    </w:p>
    <w:p w:rsidR="00284BA2" w:rsidRDefault="00284BA2" w:rsidP="00CA7A6A">
      <w:pPr>
        <w:spacing w:after="0" w:line="240" w:lineRule="auto"/>
        <w:jc w:val="both"/>
        <w:rPr>
          <w:rFonts w:ascii="Tinos" w:eastAsia="Tinos" w:hAnsi="Tinos" w:cs="Tinos"/>
          <w:sz w:val="28"/>
          <w:szCs w:val="28"/>
        </w:rPr>
      </w:pPr>
    </w:p>
    <w:p w:rsidR="00AC6F8B" w:rsidRDefault="00CA7A6A" w:rsidP="00CA7A6A">
      <w:pPr>
        <w:spacing w:after="0" w:line="240" w:lineRule="auto"/>
        <w:jc w:val="both"/>
        <w:rPr>
          <w:rFonts w:ascii="Tinos" w:eastAsia="Tinos" w:hAnsi="Tinos" w:cs="Tinos"/>
          <w:sz w:val="28"/>
          <w:szCs w:val="28"/>
        </w:rPr>
      </w:pPr>
      <w:r w:rsidRPr="00CA7A6A">
        <w:rPr>
          <w:rFonts w:ascii="Tinos" w:eastAsia="Tinos" w:hAnsi="Tinos" w:cs="Tinos"/>
          <w:sz w:val="28"/>
          <w:szCs w:val="28"/>
        </w:rPr>
        <w:t xml:space="preserve">Ознакомиться с инструкцией по участию в программе социальной газификации можно на официальном сайте Росреестра: </w:t>
      </w:r>
      <w:hyperlink r:id="rId9" w:history="1">
        <w:r w:rsidR="00AC6F8B" w:rsidRPr="00FE4C97">
          <w:rPr>
            <w:rStyle w:val="af4"/>
            <w:rFonts w:ascii="Tinos" w:eastAsia="Tinos" w:hAnsi="Tinos" w:cs="Tinos"/>
            <w:sz w:val="28"/>
            <w:szCs w:val="28"/>
          </w:rPr>
          <w:t>https://rosreestr.gov.ru/open-service/obzor-zakonov-o-nedvizhimosti/shagi-dlya-dogazifikatsii-zhilykh-domov-v-snt/</w:t>
        </w:r>
      </w:hyperlink>
      <w:r w:rsidR="00AC6F8B">
        <w:rPr>
          <w:rFonts w:ascii="Tinos" w:eastAsia="Tinos" w:hAnsi="Tinos" w:cs="Tinos"/>
          <w:sz w:val="28"/>
          <w:szCs w:val="28"/>
        </w:rPr>
        <w:t>.</w:t>
      </w:r>
    </w:p>
    <w:p w:rsidR="00AC6F8B" w:rsidRDefault="00AC6F8B" w:rsidP="00CA7A6A">
      <w:pPr>
        <w:spacing w:after="0" w:line="240" w:lineRule="auto"/>
        <w:jc w:val="both"/>
        <w:rPr>
          <w:rFonts w:ascii="Tinos" w:eastAsia="Tinos" w:hAnsi="Tinos" w:cs="Tinos"/>
          <w:sz w:val="28"/>
          <w:szCs w:val="28"/>
        </w:rPr>
      </w:pPr>
    </w:p>
    <w:p w:rsidR="00AC6F8B" w:rsidRPr="00AC6F8B" w:rsidRDefault="00AC6F8B" w:rsidP="00CA7A6A">
      <w:pPr>
        <w:spacing w:after="0" w:line="240" w:lineRule="auto"/>
        <w:jc w:val="both"/>
        <w:rPr>
          <w:rFonts w:ascii="Tinos" w:eastAsia="Tinos" w:hAnsi="Tinos" w:cs="Tinos"/>
          <w:sz w:val="28"/>
          <w:szCs w:val="28"/>
        </w:rPr>
      </w:pPr>
      <w:r w:rsidRPr="00D14F74">
        <w:rPr>
          <w:rFonts w:ascii="Tinos" w:eastAsia="Tinos" w:hAnsi="Tinos" w:cs="Tinos"/>
          <w:sz w:val="28"/>
          <w:szCs w:val="28"/>
        </w:rPr>
        <w:t>#</w:t>
      </w:r>
      <w:proofErr w:type="spellStart"/>
      <w:r>
        <w:rPr>
          <w:rFonts w:ascii="Tinos" w:eastAsia="Tinos" w:hAnsi="Tinos" w:cs="Tinos"/>
          <w:sz w:val="28"/>
          <w:szCs w:val="28"/>
        </w:rPr>
        <w:t>социальнаягазификация</w:t>
      </w:r>
      <w:proofErr w:type="spellEnd"/>
    </w:p>
    <w:p w:rsidR="00CA7A6A" w:rsidRDefault="00CA7A6A" w:rsidP="00CA7A6A">
      <w:pPr>
        <w:spacing w:after="0" w:line="240" w:lineRule="auto"/>
        <w:jc w:val="both"/>
        <w:rPr>
          <w:rFonts w:ascii="Tinos" w:eastAsia="Tinos" w:hAnsi="Tinos" w:cs="Tinos"/>
          <w:sz w:val="28"/>
          <w:szCs w:val="28"/>
        </w:rPr>
      </w:pPr>
      <w:r w:rsidRPr="00CA7A6A">
        <w:rPr>
          <w:rFonts w:ascii="Tinos" w:eastAsia="Tinos" w:hAnsi="Tinos" w:cs="Tinos"/>
          <w:sz w:val="28"/>
          <w:szCs w:val="28"/>
        </w:rPr>
        <w:t xml:space="preserve">          </w:t>
      </w:r>
    </w:p>
    <w:p w:rsidR="00CA7A6A" w:rsidRPr="00AC6F8B" w:rsidRDefault="00AC6F8B" w:rsidP="00CA7A6A">
      <w:pPr>
        <w:spacing w:after="0" w:line="240" w:lineRule="auto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ab/>
      </w:r>
    </w:p>
    <w:p w:rsidR="00A07903" w:rsidRDefault="00161848">
      <w:pPr>
        <w:spacing w:after="0" w:line="240" w:lineRule="auto"/>
        <w:jc w:val="right"/>
        <w:rPr>
          <w:rStyle w:val="aff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</w:pPr>
      <w:r>
        <w:rPr>
          <w:rStyle w:val="aff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Пресс-служба Управления Росреестра по Тюменской области</w:t>
      </w:r>
    </w:p>
    <w:p w:rsidR="00A07903" w:rsidRDefault="00A07903">
      <w:pPr>
        <w:spacing w:after="0" w:line="240" w:lineRule="auto"/>
        <w:jc w:val="both"/>
        <w:rPr>
          <w:rFonts w:ascii="Tahoma" w:eastAsiaTheme="minorHAnsi" w:hAnsi="Tahoma" w:cs="Tahoma"/>
          <w:bCs/>
          <w:sz w:val="24"/>
          <w:szCs w:val="24"/>
        </w:rPr>
      </w:pPr>
    </w:p>
    <w:p w:rsidR="00CA7A6A" w:rsidRPr="005B17D9" w:rsidRDefault="00CA7A6A">
      <w:pPr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</w:p>
    <w:sectPr w:rsidR="00CA7A6A" w:rsidRPr="005B17D9">
      <w:headerReference w:type="default" r:id="rId10"/>
      <w:footerReference w:type="default" r:id="rId11"/>
      <w:pgSz w:w="11906" w:h="16838"/>
      <w:pgMar w:top="1134" w:right="850" w:bottom="1134" w:left="170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FBD" w:rsidRDefault="00C75FBD">
      <w:pPr>
        <w:spacing w:after="0" w:line="240" w:lineRule="auto"/>
      </w:pPr>
      <w:r>
        <w:separator/>
      </w:r>
    </w:p>
  </w:endnote>
  <w:endnote w:type="continuationSeparator" w:id="0">
    <w:p w:rsidR="00C75FBD" w:rsidRDefault="00C75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903" w:rsidRDefault="00161848">
    <w:pPr>
      <w:pStyle w:val="af2"/>
      <w:rPr>
        <w:color w:val="595959" w:themeColor="text1" w:themeTint="A6"/>
      </w:rPr>
    </w:pPr>
    <w:r>
      <w:rPr>
        <w:color w:val="595959" w:themeColor="text1" w:themeTint="A6"/>
      </w:rPr>
      <w:t>г. Тюмень, ул. Луначарского, д. 42, тел: (3452) 43-12-49</w:t>
    </w:r>
  </w:p>
  <w:p w:rsidR="00A07903" w:rsidRDefault="00161848">
    <w:pPr>
      <w:pStyle w:val="af2"/>
      <w:rPr>
        <w:color w:val="595959" w:themeColor="text1" w:themeTint="A6"/>
        <w:lang w:val="en-US"/>
      </w:rPr>
    </w:pPr>
    <w:proofErr w:type="gramStart"/>
    <w:r>
      <w:rPr>
        <w:color w:val="595959" w:themeColor="text1" w:themeTint="A6"/>
        <w:lang w:val="en-US"/>
      </w:rPr>
      <w:t>e-mail</w:t>
    </w:r>
    <w:proofErr w:type="gramEnd"/>
    <w:r>
      <w:rPr>
        <w:color w:val="595959" w:themeColor="text1" w:themeTint="A6"/>
        <w:lang w:val="en-US"/>
      </w:rPr>
      <w:t xml:space="preserve">: </w:t>
    </w:r>
    <w:hyperlink r:id="rId1" w:tooltip="mailto:reestr72@yandex.ru" w:history="1">
      <w:r>
        <w:rPr>
          <w:rStyle w:val="af4"/>
          <w:color w:val="595959" w:themeColor="text1" w:themeTint="A6"/>
          <w:lang w:val="en-US"/>
        </w:rPr>
        <w:t>reestr72@yandex.ru</w:t>
      </w:r>
    </w:hyperlink>
    <w:r>
      <w:rPr>
        <w:color w:val="595959" w:themeColor="text1" w:themeTint="A6"/>
        <w:lang w:val="en-US"/>
      </w:rPr>
      <w:t xml:space="preserve">, </w:t>
    </w:r>
    <w:r w:rsidR="00C75FBD">
      <w:fldChar w:fldCharType="begin"/>
    </w:r>
    <w:r w:rsidR="00C75FBD" w:rsidRPr="00284BA2">
      <w:rPr>
        <w:lang w:val="en-US"/>
      </w:rPr>
      <w:instrText xml:space="preserve"> HYPERLINK "https://rosreestr.gov.ru" </w:instrText>
    </w:r>
    <w:r w:rsidR="00C75FBD">
      <w:fldChar w:fldCharType="separate"/>
    </w:r>
    <w:r>
      <w:rPr>
        <w:rStyle w:val="af4"/>
        <w:color w:val="595959" w:themeColor="text1" w:themeTint="A6"/>
        <w:lang w:val="en-US"/>
      </w:rPr>
      <w:t>https://rosreestr.gov.ru</w:t>
    </w:r>
    <w:r w:rsidR="00C75FBD">
      <w:rPr>
        <w:rStyle w:val="af4"/>
        <w:color w:val="595959" w:themeColor="text1" w:themeTint="A6"/>
        <w:lang w:val="en-US"/>
      </w:rPr>
      <w:fldChar w:fldCharType="end"/>
    </w:r>
  </w:p>
  <w:p w:rsidR="00A07903" w:rsidRDefault="00A07903">
    <w:pPr>
      <w:pStyle w:val="af2"/>
      <w:rPr>
        <w:color w:val="595959" w:themeColor="text1" w:themeTint="A6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FBD" w:rsidRDefault="00C75FBD">
      <w:pPr>
        <w:spacing w:after="0" w:line="240" w:lineRule="auto"/>
      </w:pPr>
      <w:r>
        <w:separator/>
      </w:r>
    </w:p>
  </w:footnote>
  <w:footnote w:type="continuationSeparator" w:id="0">
    <w:p w:rsidR="00C75FBD" w:rsidRDefault="00C75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903" w:rsidRDefault="00161848">
    <w:pPr>
      <w:pStyle w:val="af0"/>
      <w:ind w:left="-567"/>
    </w:pPr>
    <w:r>
      <w:rPr>
        <w:noProof/>
        <w:lang w:eastAsia="ru-RU"/>
      </w:rPr>
      <mc:AlternateContent>
        <mc:Choice Requires="wpg">
          <w:drawing>
            <wp:inline distT="0" distB="0" distL="0" distR="0">
              <wp:extent cx="2332800" cy="818541"/>
              <wp:effectExtent l="0" t="0" r="0" b="635"/>
              <wp:docPr id="1" name="Рисунок 12" descr="C:\Users\Белякова\Desktop\Основное лого 2 Тюменская область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:\Users\Белякова\Desktop\Основное лого 2 Тюменская область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356062" cy="82670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83.69pt;height:64.45pt;mso-wrap-distance-left:0.00pt;mso-wrap-distance-top:0.00pt;mso-wrap-distance-right:0.00pt;mso-wrap-distance-bottom:0.00pt;" stroked="f">
              <v:path textboxrect="0,0,0,0"/>
              <v:imagedata r:id="rId2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177B7"/>
    <w:multiLevelType w:val="hybridMultilevel"/>
    <w:tmpl w:val="EC7ABBBE"/>
    <w:lvl w:ilvl="0" w:tplc="DDBC3414">
      <w:start w:val="1"/>
      <w:numFmt w:val="bullet"/>
      <w:lvlText w:val="-"/>
      <w:lvlJc w:val="left"/>
      <w:pPr>
        <w:ind w:left="360" w:hanging="360"/>
      </w:pPr>
      <w:rPr>
        <w:rFonts w:ascii="SimSun" w:eastAsia="SimSun" w:hAnsi="SimSun" w:hint="eastAsia"/>
      </w:rPr>
    </w:lvl>
    <w:lvl w:ilvl="1" w:tplc="64E0552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4AE83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F2EB94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12449C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BA0307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9ACEE4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CADF5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2309DD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58F289F"/>
    <w:multiLevelType w:val="hybridMultilevel"/>
    <w:tmpl w:val="3F4E17CA"/>
    <w:lvl w:ilvl="0" w:tplc="E56265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E691C4">
      <w:start w:val="1"/>
      <w:numFmt w:val="lowerLetter"/>
      <w:lvlText w:val="%2."/>
      <w:lvlJc w:val="left"/>
      <w:pPr>
        <w:ind w:left="1440" w:hanging="360"/>
      </w:pPr>
    </w:lvl>
    <w:lvl w:ilvl="2" w:tplc="9BDA7CB8">
      <w:start w:val="1"/>
      <w:numFmt w:val="lowerRoman"/>
      <w:lvlText w:val="%3."/>
      <w:lvlJc w:val="right"/>
      <w:pPr>
        <w:ind w:left="2160" w:hanging="180"/>
      </w:pPr>
    </w:lvl>
    <w:lvl w:ilvl="3" w:tplc="378C7F14">
      <w:start w:val="1"/>
      <w:numFmt w:val="decimal"/>
      <w:lvlText w:val="%4."/>
      <w:lvlJc w:val="left"/>
      <w:pPr>
        <w:ind w:left="2880" w:hanging="360"/>
      </w:pPr>
    </w:lvl>
    <w:lvl w:ilvl="4" w:tplc="C812F908">
      <w:start w:val="1"/>
      <w:numFmt w:val="lowerLetter"/>
      <w:lvlText w:val="%5."/>
      <w:lvlJc w:val="left"/>
      <w:pPr>
        <w:ind w:left="3600" w:hanging="360"/>
      </w:pPr>
    </w:lvl>
    <w:lvl w:ilvl="5" w:tplc="3CA277BA">
      <w:start w:val="1"/>
      <w:numFmt w:val="lowerRoman"/>
      <w:lvlText w:val="%6."/>
      <w:lvlJc w:val="right"/>
      <w:pPr>
        <w:ind w:left="4320" w:hanging="180"/>
      </w:pPr>
    </w:lvl>
    <w:lvl w:ilvl="6" w:tplc="B4D4C4D2">
      <w:start w:val="1"/>
      <w:numFmt w:val="decimal"/>
      <w:lvlText w:val="%7."/>
      <w:lvlJc w:val="left"/>
      <w:pPr>
        <w:ind w:left="5040" w:hanging="360"/>
      </w:pPr>
    </w:lvl>
    <w:lvl w:ilvl="7" w:tplc="3DAEAFDA">
      <w:start w:val="1"/>
      <w:numFmt w:val="lowerLetter"/>
      <w:lvlText w:val="%8."/>
      <w:lvlJc w:val="left"/>
      <w:pPr>
        <w:ind w:left="5760" w:hanging="360"/>
      </w:pPr>
    </w:lvl>
    <w:lvl w:ilvl="8" w:tplc="B55C326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8D6749"/>
    <w:multiLevelType w:val="hybridMultilevel"/>
    <w:tmpl w:val="31C6D666"/>
    <w:lvl w:ilvl="0" w:tplc="C220E1D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C4B6FFD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914FD7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606B6A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9F0646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B04A2C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D1CB02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6087F8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374DA7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1F547E"/>
    <w:multiLevelType w:val="hybridMultilevel"/>
    <w:tmpl w:val="6D48E2CA"/>
    <w:lvl w:ilvl="0" w:tplc="E5BE2C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55EA726">
      <w:start w:val="1"/>
      <w:numFmt w:val="lowerLetter"/>
      <w:lvlText w:val="%2."/>
      <w:lvlJc w:val="left"/>
      <w:pPr>
        <w:ind w:left="1440" w:hanging="360"/>
      </w:pPr>
    </w:lvl>
    <w:lvl w:ilvl="2" w:tplc="D7E408AE">
      <w:start w:val="1"/>
      <w:numFmt w:val="lowerRoman"/>
      <w:lvlText w:val="%3."/>
      <w:lvlJc w:val="right"/>
      <w:pPr>
        <w:ind w:left="2160" w:hanging="180"/>
      </w:pPr>
    </w:lvl>
    <w:lvl w:ilvl="3" w:tplc="3D6E0F82">
      <w:start w:val="1"/>
      <w:numFmt w:val="decimal"/>
      <w:lvlText w:val="%4."/>
      <w:lvlJc w:val="left"/>
      <w:pPr>
        <w:ind w:left="2880" w:hanging="360"/>
      </w:pPr>
    </w:lvl>
    <w:lvl w:ilvl="4" w:tplc="441C6292">
      <w:start w:val="1"/>
      <w:numFmt w:val="lowerLetter"/>
      <w:lvlText w:val="%5."/>
      <w:lvlJc w:val="left"/>
      <w:pPr>
        <w:ind w:left="3600" w:hanging="360"/>
      </w:pPr>
    </w:lvl>
    <w:lvl w:ilvl="5" w:tplc="D2500252">
      <w:start w:val="1"/>
      <w:numFmt w:val="lowerRoman"/>
      <w:lvlText w:val="%6."/>
      <w:lvlJc w:val="right"/>
      <w:pPr>
        <w:ind w:left="4320" w:hanging="180"/>
      </w:pPr>
    </w:lvl>
    <w:lvl w:ilvl="6" w:tplc="636A57B0">
      <w:start w:val="1"/>
      <w:numFmt w:val="decimal"/>
      <w:lvlText w:val="%7."/>
      <w:lvlJc w:val="left"/>
      <w:pPr>
        <w:ind w:left="5040" w:hanging="360"/>
      </w:pPr>
    </w:lvl>
    <w:lvl w:ilvl="7" w:tplc="5D40BD1E">
      <w:start w:val="1"/>
      <w:numFmt w:val="lowerLetter"/>
      <w:lvlText w:val="%8."/>
      <w:lvlJc w:val="left"/>
      <w:pPr>
        <w:ind w:left="5760" w:hanging="360"/>
      </w:pPr>
    </w:lvl>
    <w:lvl w:ilvl="8" w:tplc="DC400B8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A6AED"/>
    <w:multiLevelType w:val="hybridMultilevel"/>
    <w:tmpl w:val="A40AC148"/>
    <w:lvl w:ilvl="0" w:tplc="69B264D2">
      <w:start w:val="1"/>
      <w:numFmt w:val="decimal"/>
      <w:lvlText w:val="%1."/>
      <w:lvlJc w:val="left"/>
      <w:pPr>
        <w:ind w:left="720" w:hanging="360"/>
      </w:pPr>
    </w:lvl>
    <w:lvl w:ilvl="1" w:tplc="293C4B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A8720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37031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DC04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7E7E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3017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E4DF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BC1E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0250C9"/>
    <w:multiLevelType w:val="hybridMultilevel"/>
    <w:tmpl w:val="E5F207CA"/>
    <w:lvl w:ilvl="0" w:tplc="4052DC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5BC0B0A">
      <w:start w:val="1"/>
      <w:numFmt w:val="lowerLetter"/>
      <w:lvlText w:val="%2."/>
      <w:lvlJc w:val="left"/>
      <w:pPr>
        <w:ind w:left="1440" w:hanging="360"/>
      </w:pPr>
    </w:lvl>
    <w:lvl w:ilvl="2" w:tplc="DDACC594">
      <w:start w:val="1"/>
      <w:numFmt w:val="lowerRoman"/>
      <w:lvlText w:val="%3."/>
      <w:lvlJc w:val="right"/>
      <w:pPr>
        <w:ind w:left="2160" w:hanging="180"/>
      </w:pPr>
    </w:lvl>
    <w:lvl w:ilvl="3" w:tplc="4C9085CC">
      <w:start w:val="1"/>
      <w:numFmt w:val="decimal"/>
      <w:lvlText w:val="%4."/>
      <w:lvlJc w:val="left"/>
      <w:pPr>
        <w:ind w:left="2880" w:hanging="360"/>
      </w:pPr>
    </w:lvl>
    <w:lvl w:ilvl="4" w:tplc="5B24DE74">
      <w:start w:val="1"/>
      <w:numFmt w:val="lowerLetter"/>
      <w:lvlText w:val="%5."/>
      <w:lvlJc w:val="left"/>
      <w:pPr>
        <w:ind w:left="3600" w:hanging="360"/>
      </w:pPr>
    </w:lvl>
    <w:lvl w:ilvl="5" w:tplc="C570079C">
      <w:start w:val="1"/>
      <w:numFmt w:val="lowerRoman"/>
      <w:lvlText w:val="%6."/>
      <w:lvlJc w:val="right"/>
      <w:pPr>
        <w:ind w:left="4320" w:hanging="180"/>
      </w:pPr>
    </w:lvl>
    <w:lvl w:ilvl="6" w:tplc="3A3A309A">
      <w:start w:val="1"/>
      <w:numFmt w:val="decimal"/>
      <w:lvlText w:val="%7."/>
      <w:lvlJc w:val="left"/>
      <w:pPr>
        <w:ind w:left="5040" w:hanging="360"/>
      </w:pPr>
    </w:lvl>
    <w:lvl w:ilvl="7" w:tplc="FD36901A">
      <w:start w:val="1"/>
      <w:numFmt w:val="lowerLetter"/>
      <w:lvlText w:val="%8."/>
      <w:lvlJc w:val="left"/>
      <w:pPr>
        <w:ind w:left="5760" w:hanging="360"/>
      </w:pPr>
    </w:lvl>
    <w:lvl w:ilvl="8" w:tplc="AC6637E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124FB3"/>
    <w:multiLevelType w:val="hybridMultilevel"/>
    <w:tmpl w:val="B8F40D00"/>
    <w:lvl w:ilvl="0" w:tplc="FA6EF7FA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color w:val="000000"/>
        <w:sz w:val="20"/>
      </w:rPr>
    </w:lvl>
    <w:lvl w:ilvl="1" w:tplc="DFC05AE2">
      <w:start w:val="1"/>
      <w:numFmt w:val="lowerLetter"/>
      <w:lvlText w:val="%2."/>
      <w:lvlJc w:val="left"/>
      <w:pPr>
        <w:ind w:left="1440" w:hanging="360"/>
      </w:pPr>
    </w:lvl>
    <w:lvl w:ilvl="2" w:tplc="244E359E">
      <w:start w:val="1"/>
      <w:numFmt w:val="lowerRoman"/>
      <w:lvlText w:val="%3."/>
      <w:lvlJc w:val="right"/>
      <w:pPr>
        <w:ind w:left="2160" w:hanging="180"/>
      </w:pPr>
    </w:lvl>
    <w:lvl w:ilvl="3" w:tplc="57BE7D90">
      <w:start w:val="1"/>
      <w:numFmt w:val="decimal"/>
      <w:lvlText w:val="%4."/>
      <w:lvlJc w:val="left"/>
      <w:pPr>
        <w:ind w:left="2880" w:hanging="360"/>
      </w:pPr>
    </w:lvl>
    <w:lvl w:ilvl="4" w:tplc="9EFE283E">
      <w:start w:val="1"/>
      <w:numFmt w:val="lowerLetter"/>
      <w:lvlText w:val="%5."/>
      <w:lvlJc w:val="left"/>
      <w:pPr>
        <w:ind w:left="3600" w:hanging="360"/>
      </w:pPr>
    </w:lvl>
    <w:lvl w:ilvl="5" w:tplc="2514C846">
      <w:start w:val="1"/>
      <w:numFmt w:val="lowerRoman"/>
      <w:lvlText w:val="%6."/>
      <w:lvlJc w:val="right"/>
      <w:pPr>
        <w:ind w:left="4320" w:hanging="180"/>
      </w:pPr>
    </w:lvl>
    <w:lvl w:ilvl="6" w:tplc="AA2CD50E">
      <w:start w:val="1"/>
      <w:numFmt w:val="decimal"/>
      <w:lvlText w:val="%7."/>
      <w:lvlJc w:val="left"/>
      <w:pPr>
        <w:ind w:left="5040" w:hanging="360"/>
      </w:pPr>
    </w:lvl>
    <w:lvl w:ilvl="7" w:tplc="0BAC02BC">
      <w:start w:val="1"/>
      <w:numFmt w:val="lowerLetter"/>
      <w:lvlText w:val="%8."/>
      <w:lvlJc w:val="left"/>
      <w:pPr>
        <w:ind w:left="5760" w:hanging="360"/>
      </w:pPr>
    </w:lvl>
    <w:lvl w:ilvl="8" w:tplc="5986059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174809"/>
    <w:multiLevelType w:val="hybridMultilevel"/>
    <w:tmpl w:val="89A8835E"/>
    <w:lvl w:ilvl="0" w:tplc="424CED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5F420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A0EB1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D7888E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028199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B12FDF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580B69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22A1F5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B7E357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077605"/>
    <w:multiLevelType w:val="hybridMultilevel"/>
    <w:tmpl w:val="E8580676"/>
    <w:lvl w:ilvl="0" w:tplc="3E387EB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926481E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1BE430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8BABB6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54B31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794B67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04A905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89882B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E82F42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7B0A7520"/>
    <w:multiLevelType w:val="hybridMultilevel"/>
    <w:tmpl w:val="1F80D8D0"/>
    <w:lvl w:ilvl="0" w:tplc="27ECFCCE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 w:tplc="17CA1742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2" w:tplc="ABE4D858">
      <w:start w:val="1"/>
      <w:numFmt w:val="decimal"/>
      <w:lvlText w:val=""/>
      <w:lvlJc w:val="left"/>
    </w:lvl>
    <w:lvl w:ilvl="3" w:tplc="5DDC15A6">
      <w:start w:val="1"/>
      <w:numFmt w:val="decimal"/>
      <w:lvlText w:val=""/>
      <w:lvlJc w:val="left"/>
    </w:lvl>
    <w:lvl w:ilvl="4" w:tplc="C640FEA4">
      <w:start w:val="1"/>
      <w:numFmt w:val="decimal"/>
      <w:lvlText w:val=""/>
      <w:lvlJc w:val="left"/>
    </w:lvl>
    <w:lvl w:ilvl="5" w:tplc="9C4C7B8E">
      <w:start w:val="1"/>
      <w:numFmt w:val="decimal"/>
      <w:lvlText w:val=""/>
      <w:lvlJc w:val="left"/>
    </w:lvl>
    <w:lvl w:ilvl="6" w:tplc="8010763E">
      <w:start w:val="1"/>
      <w:numFmt w:val="decimal"/>
      <w:lvlText w:val=""/>
      <w:lvlJc w:val="left"/>
    </w:lvl>
    <w:lvl w:ilvl="7" w:tplc="C8C824C6">
      <w:start w:val="1"/>
      <w:numFmt w:val="decimal"/>
      <w:lvlText w:val=""/>
      <w:lvlJc w:val="left"/>
    </w:lvl>
    <w:lvl w:ilvl="8" w:tplc="155E1CB6">
      <w:start w:val="1"/>
      <w:numFmt w:val="decimal"/>
      <w:lvlText w:val=""/>
      <w:lvlJc w:val="left"/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8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903"/>
    <w:rsid w:val="00161848"/>
    <w:rsid w:val="00284BA2"/>
    <w:rsid w:val="00391400"/>
    <w:rsid w:val="003E753C"/>
    <w:rsid w:val="004616F1"/>
    <w:rsid w:val="004F49B0"/>
    <w:rsid w:val="005B17D9"/>
    <w:rsid w:val="006266DD"/>
    <w:rsid w:val="00660173"/>
    <w:rsid w:val="00694ED9"/>
    <w:rsid w:val="006B088D"/>
    <w:rsid w:val="00807F77"/>
    <w:rsid w:val="00A07903"/>
    <w:rsid w:val="00A12E24"/>
    <w:rsid w:val="00A23C46"/>
    <w:rsid w:val="00A80E1A"/>
    <w:rsid w:val="00AC6F8B"/>
    <w:rsid w:val="00BB3FFD"/>
    <w:rsid w:val="00C75FBD"/>
    <w:rsid w:val="00C9268C"/>
    <w:rsid w:val="00CA7A6A"/>
    <w:rsid w:val="00CD2E73"/>
    <w:rsid w:val="00D14F74"/>
    <w:rsid w:val="00D22586"/>
    <w:rsid w:val="00F9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737A12-5DEA-4F87-9B6A-80B2BFA03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paragraph" w:customStyle="1" w:styleId="formattext">
    <w:name w:val="format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Pr>
      <w:rFonts w:ascii="Calibri" w:eastAsia="Calibri" w:hAnsi="Calibri" w:cs="Times New Roman"/>
    </w:rPr>
  </w:style>
  <w:style w:type="character" w:styleId="af4">
    <w:name w:val="Hyperlink"/>
    <w:basedOn w:val="a0"/>
    <w:uiPriority w:val="99"/>
    <w:unhideWhenUsed/>
    <w:rPr>
      <w:color w:val="0000FF" w:themeColor="hyperlink"/>
      <w:u w:val="single"/>
    </w:rPr>
  </w:style>
  <w:style w:type="table" w:styleId="af5">
    <w:name w:val="Table Grid"/>
    <w:basedOn w:val="a1"/>
    <w:uiPriority w:val="59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List Paragraph"/>
    <w:basedOn w:val="a"/>
    <w:uiPriority w:val="34"/>
    <w:qFormat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f7">
    <w:name w:val="Balloon Text"/>
    <w:basedOn w:val="a"/>
    <w:link w:val="af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Default">
    <w:name w:val="Default"/>
    <w:uiPriority w:val="99"/>
    <w:pPr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a">
    <w:name w:val="No Spacing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fb">
    <w:name w:val="footnote text"/>
    <w:basedOn w:val="a"/>
    <w:link w:val="afc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Pr>
      <w:rFonts w:ascii="Calibri" w:eastAsia="Calibri" w:hAnsi="Calibri" w:cs="Times New Roman"/>
      <w:sz w:val="20"/>
      <w:szCs w:val="20"/>
    </w:rPr>
  </w:style>
  <w:style w:type="character" w:styleId="afd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afe">
    <w:name w:val="Основной текст_"/>
    <w:link w:val="13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theme="minorBidi"/>
      <w:sz w:val="26"/>
      <w:szCs w:val="26"/>
    </w:rPr>
  </w:style>
  <w:style w:type="character" w:styleId="aff">
    <w:name w:val="Strong"/>
    <w:uiPriority w:val="22"/>
    <w:qFormat/>
    <w:rPr>
      <w:b/>
      <w:bCs/>
    </w:rPr>
  </w:style>
  <w:style w:type="character" w:customStyle="1" w:styleId="apple-converted-space">
    <w:name w:val="apple-converted-space"/>
    <w:basedOn w:val="a0"/>
  </w:style>
  <w:style w:type="character" w:customStyle="1" w:styleId="im-mess--lbl-was-edited">
    <w:name w:val="im-mess--lbl-was-edited"/>
    <w:basedOn w:val="a0"/>
  </w:style>
  <w:style w:type="character" w:customStyle="1" w:styleId="apple-style-span">
    <w:name w:val="apple-style-span"/>
    <w:basedOn w:val="a0"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styleId="aff0">
    <w:name w:val="Emphasis"/>
    <w:qFormat/>
    <w:rPr>
      <w:i/>
      <w:iCs/>
    </w:rPr>
  </w:style>
  <w:style w:type="character" w:styleId="aff1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customStyle="1" w:styleId="selectable-text">
    <w:name w:val="selectable-tex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electable-text1">
    <w:name w:val="selectable-text1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osreestr.gov.ru/open-service/obzor-zakonov-o-nedvizhimosti/shagi-dlya-dogazifikatsii-zhilykh-domov-v-snt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estr72@yandex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B384C-85C9-4D3B-A10F-26BCFC40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Белякова</dc:creator>
  <cp:keywords/>
  <dc:description/>
  <cp:lastModifiedBy>Белякова Наталья Олеговна</cp:lastModifiedBy>
  <cp:revision>8</cp:revision>
  <cp:lastPrinted>2026-08-14T04:19:00Z</cp:lastPrinted>
  <dcterms:created xsi:type="dcterms:W3CDTF">2026-08-14T05:43:00Z</dcterms:created>
  <dcterms:modified xsi:type="dcterms:W3CDTF">2026-08-27T05:08:00Z</dcterms:modified>
</cp:coreProperties>
</file>